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2151B5" w14:textId="3634F837" w:rsidR="00124F15" w:rsidRPr="00124F15" w:rsidRDefault="00124F15" w:rsidP="00124F15">
      <w:pPr>
        <w:rPr>
          <w:lang/>
        </w:rPr>
      </w:pPr>
      <w:r w:rsidRPr="00124F15">
        <w:rPr>
          <w:lang/>
        </w:rPr>
        <w:t>© 2022 ILSI Europe</w:t>
      </w:r>
    </w:p>
    <w:p w14:paraId="48AA7570" w14:textId="0B83C686" w:rsidR="00124F15" w:rsidRPr="00124F15" w:rsidRDefault="00124F15" w:rsidP="00124F15">
      <w:pPr>
        <w:rPr>
          <w:lang/>
        </w:rPr>
      </w:pPr>
      <w:r w:rsidRPr="00124F15">
        <w:rPr>
          <w:lang/>
        </w:rPr>
        <w:t>The statements, opinions, and advertisements in this publication</w:t>
      </w:r>
      <w:r w:rsidR="001F7DFB">
        <w:rPr>
          <w:lang w:val="en-GB"/>
        </w:rPr>
        <w:t>, form</w:t>
      </w:r>
      <w:r w:rsidRPr="00124F15">
        <w:rPr>
          <w:lang/>
        </w:rPr>
        <w:t xml:space="preserve"> or calculation workbook are solely those of the individual authors, contributors, editors, or advertisers, as indicated. Those statements, opinions, and advertisements do not reflect any endorsement by ILSI Europe. Unless otherwise specified, ILSI Europe disclaims all responsibility or liability for such material.</w:t>
      </w:r>
    </w:p>
    <w:p w14:paraId="09AC804D" w14:textId="67AC1837" w:rsidR="00124F15" w:rsidRPr="00213E9C" w:rsidRDefault="00124F15" w:rsidP="00124F15">
      <w:r w:rsidRPr="00124F15">
        <w:rPr>
          <w:lang/>
        </w:rPr>
        <w:t xml:space="preserve">This </w:t>
      </w:r>
      <w:r>
        <w:t>Sampling and Analysis form</w:t>
      </w:r>
      <w:r w:rsidRPr="00124F15">
        <w:rPr>
          <w:lang/>
        </w:rPr>
        <w:t xml:space="preserve"> is prepared by ILSI Europe Food Allergy Expert Group on Allergen Quantitative Risk Assessment (QRA) as part of ""Practical Guidance on the Application of Food Allergen Quantitative Risk Assessment"". For more information and guidance </w:t>
      </w:r>
      <w:r w:rsidR="00C40165">
        <w:t xml:space="preserve">on how to use the form </w:t>
      </w:r>
      <w:r w:rsidRPr="00124F15">
        <w:rPr>
          <w:lang/>
        </w:rPr>
        <w:t>see:</w:t>
      </w:r>
      <w:r w:rsidR="002C316C">
        <w:t xml:space="preserve"> </w:t>
      </w:r>
      <w:hyperlink r:id="rId6" w:history="1">
        <w:r w:rsidR="002C316C" w:rsidRPr="002C316C">
          <w:rPr>
            <w:rStyle w:val="Hyperlink"/>
          </w:rPr>
          <w:t>he</w:t>
        </w:r>
        <w:r w:rsidR="002C316C" w:rsidRPr="002C316C">
          <w:rPr>
            <w:rStyle w:val="Hyperlink"/>
          </w:rPr>
          <w:t>r</w:t>
        </w:r>
        <w:r w:rsidR="002C316C" w:rsidRPr="002C316C">
          <w:rPr>
            <w:rStyle w:val="Hyperlink"/>
          </w:rPr>
          <w:t>e</w:t>
        </w:r>
        <w:r w:rsidR="0035184D" w:rsidRPr="002C316C">
          <w:rPr>
            <w:rStyle w:val="Hyperlink"/>
          </w:rPr>
          <w:t>.</w:t>
        </w:r>
      </w:hyperlink>
    </w:p>
    <w:p w14:paraId="6C47AA69" w14:textId="77777777" w:rsidR="00B37DF8" w:rsidRDefault="00B37DF8" w:rsidP="00B37DF8">
      <w:r>
        <w:t>This publication is licensed under the Creative Common Attribution 4.0 International (CC BY 4.0). This license allows reusers to distribute, remix, adapt, and build upon the material in any medium or format, so long as attribution is given to the creator. The license allows for commercial use.</w:t>
      </w:r>
    </w:p>
    <w:p w14:paraId="14617CA0" w14:textId="58462736" w:rsidR="00B37DF8" w:rsidRPr="00617573" w:rsidRDefault="00B37DF8" w:rsidP="00B37DF8">
      <w:r>
        <w:rPr>
          <w:noProof/>
        </w:rPr>
        <w:drawing>
          <wp:inline distT="0" distB="0" distL="0" distR="0" wp14:anchorId="49917523" wp14:editId="67F90BCA">
            <wp:extent cx="1226820" cy="426720"/>
            <wp:effectExtent l="0" t="0" r="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26820" cy="426720"/>
                    </a:xfrm>
                    <a:prstGeom prst="rect">
                      <a:avLst/>
                    </a:prstGeom>
                    <a:noFill/>
                    <a:ln>
                      <a:noFill/>
                    </a:ln>
                  </pic:spPr>
                </pic:pic>
              </a:graphicData>
            </a:graphic>
          </wp:inline>
        </w:drawing>
      </w:r>
    </w:p>
    <w:p w14:paraId="5A563ACF" w14:textId="77777777" w:rsidR="00124F15" w:rsidRPr="00124F15" w:rsidRDefault="00124F15" w:rsidP="00124F15">
      <w:pPr>
        <w:rPr>
          <w:lang/>
        </w:rPr>
      </w:pPr>
      <w:r w:rsidRPr="00124F15">
        <w:rPr>
          <w:lang/>
        </w:rPr>
        <w:t>“A Global Partnership for a Safer, Healthier World ®”, the International Life Sciences Institute (ILSI) logo image of concentric circles, the word mark “International Life Sciences Institute”, as well as the acronym “ILSI” are trademarks of the International Life Sciences Institute and licensed for use by ILSI Europe. The use of trade names and commercial sources in this document is for purposes of identification only and does not imply endorsement by ILSI Europe.</w:t>
      </w:r>
    </w:p>
    <w:p w14:paraId="5DF64C41" w14:textId="77777777" w:rsidR="00124F15" w:rsidRPr="00124F15" w:rsidRDefault="00124F15" w:rsidP="00124F15">
      <w:pPr>
        <w:rPr>
          <w:lang/>
        </w:rPr>
      </w:pPr>
      <w:r w:rsidRPr="00124F15">
        <w:rPr>
          <w:lang/>
        </w:rPr>
        <w:t>For more information about ILSI Europe, please contact</w:t>
      </w:r>
    </w:p>
    <w:p w14:paraId="1F9EFF45" w14:textId="77777777" w:rsidR="00124F15" w:rsidRPr="00124F15" w:rsidRDefault="00124F15" w:rsidP="00124F15">
      <w:pPr>
        <w:spacing w:after="0"/>
        <w:rPr>
          <w:lang/>
        </w:rPr>
      </w:pPr>
      <w:r w:rsidRPr="00124F15">
        <w:rPr>
          <w:lang/>
        </w:rPr>
        <w:t>ILSI Europe a.i.s.b.l.</w:t>
      </w:r>
    </w:p>
    <w:p w14:paraId="31B3B1AA" w14:textId="77777777" w:rsidR="00124F15" w:rsidRPr="00124F15" w:rsidRDefault="00124F15" w:rsidP="00124F15">
      <w:pPr>
        <w:spacing w:after="0"/>
        <w:rPr>
          <w:lang/>
        </w:rPr>
      </w:pPr>
      <w:r w:rsidRPr="00124F15">
        <w:rPr>
          <w:lang/>
        </w:rPr>
        <w:t>Avenue E. Mounier 83, Box 6</w:t>
      </w:r>
    </w:p>
    <w:p w14:paraId="55B3980E" w14:textId="77777777" w:rsidR="00124F15" w:rsidRPr="00124F15" w:rsidRDefault="00124F15" w:rsidP="00124F15">
      <w:pPr>
        <w:spacing w:after="0"/>
        <w:rPr>
          <w:lang/>
        </w:rPr>
      </w:pPr>
      <w:r w:rsidRPr="00124F15">
        <w:rPr>
          <w:lang/>
        </w:rPr>
        <w:t>B-1200 Brussels</w:t>
      </w:r>
    </w:p>
    <w:p w14:paraId="65DD2DFF" w14:textId="77777777" w:rsidR="00124F15" w:rsidRPr="00124F15" w:rsidRDefault="00124F15" w:rsidP="00124F15">
      <w:pPr>
        <w:spacing w:after="0"/>
        <w:rPr>
          <w:lang/>
        </w:rPr>
      </w:pPr>
      <w:r w:rsidRPr="00124F15">
        <w:rPr>
          <w:lang/>
        </w:rPr>
        <w:t>Belgium</w:t>
      </w:r>
    </w:p>
    <w:p w14:paraId="713A7277" w14:textId="77777777" w:rsidR="00124F15" w:rsidRPr="00124F15" w:rsidRDefault="00124F15" w:rsidP="00124F15">
      <w:pPr>
        <w:spacing w:after="0"/>
        <w:rPr>
          <w:lang/>
        </w:rPr>
      </w:pPr>
      <w:r w:rsidRPr="00124F15">
        <w:rPr>
          <w:lang/>
        </w:rPr>
        <w:t>Phone: (+32) 2 771 00 14</w:t>
      </w:r>
    </w:p>
    <w:p w14:paraId="6A462F79" w14:textId="77777777" w:rsidR="00124F15" w:rsidRPr="00124F15" w:rsidRDefault="00124F15" w:rsidP="00124F15">
      <w:pPr>
        <w:spacing w:after="0"/>
        <w:rPr>
          <w:lang/>
        </w:rPr>
      </w:pPr>
      <w:r w:rsidRPr="00124F15">
        <w:rPr>
          <w:lang/>
        </w:rPr>
        <w:t xml:space="preserve">E-mail: publications@ilsieurope.be </w:t>
      </w:r>
    </w:p>
    <w:p w14:paraId="219812B2" w14:textId="77777777" w:rsidR="00124F15" w:rsidRPr="00124F15" w:rsidRDefault="00124F15" w:rsidP="00124F15">
      <w:pPr>
        <w:spacing w:after="0"/>
        <w:rPr>
          <w:lang/>
        </w:rPr>
      </w:pPr>
      <w:r w:rsidRPr="00124F15">
        <w:rPr>
          <w:lang/>
        </w:rPr>
        <w:t xml:space="preserve">www.ilsi.eu </w:t>
      </w:r>
    </w:p>
    <w:p w14:paraId="546EB57A" w14:textId="77777777" w:rsidR="00124F15" w:rsidRDefault="00124F15">
      <w:pPr>
        <w:overflowPunct/>
        <w:autoSpaceDE/>
        <w:autoSpaceDN/>
        <w:adjustRightInd/>
        <w:spacing w:after="160" w:line="259" w:lineRule="auto"/>
        <w:jc w:val="left"/>
        <w:textAlignment w:val="auto"/>
      </w:pPr>
      <w:r>
        <w:br w:type="page"/>
      </w:r>
    </w:p>
    <w:p w14:paraId="61E4EC02" w14:textId="0A28BF79" w:rsidR="00BB6A21" w:rsidRPr="008F0599" w:rsidRDefault="00C40165" w:rsidP="00BB6A21">
      <w:r w:rsidRPr="00C40165">
        <w:lastRenderedPageBreak/>
        <w:t xml:space="preserve">This Sampling and Analysis form is prepared by ILSI Europe Food Allergy Expert Group on Allergen Quantitative Risk Assessment (QRA) as part of ""Practical Guidance on the Application of Food Allergen Quantitative Risk Assessment". </w:t>
      </w:r>
      <w:r>
        <w:t xml:space="preserve">The following form may be adapted for use. </w:t>
      </w:r>
      <w:bookmarkStart w:id="0" w:name="_Hlk106375325"/>
    </w:p>
    <w:tbl>
      <w:tblPr>
        <w:tblStyle w:val="TableGrid"/>
        <w:tblW w:w="0" w:type="auto"/>
        <w:tblLook w:val="04A0" w:firstRow="1" w:lastRow="0" w:firstColumn="1" w:lastColumn="0" w:noHBand="0" w:noVBand="1"/>
      </w:tblPr>
      <w:tblGrid>
        <w:gridCol w:w="4310"/>
        <w:gridCol w:w="1675"/>
        <w:gridCol w:w="3031"/>
      </w:tblGrid>
      <w:tr w:rsidR="00BB6A21" w:rsidRPr="000D318A" w14:paraId="58FEDE62" w14:textId="77777777" w:rsidTr="002B5448">
        <w:tc>
          <w:tcPr>
            <w:tcW w:w="9016" w:type="dxa"/>
            <w:gridSpan w:val="3"/>
            <w:shd w:val="clear" w:color="auto" w:fill="FF99CC"/>
          </w:tcPr>
          <w:bookmarkEnd w:id="0"/>
          <w:p w14:paraId="263EF9B8" w14:textId="77777777" w:rsidR="00BB6A21" w:rsidRPr="000D318A" w:rsidRDefault="00BB6A21" w:rsidP="002B5448">
            <w:pPr>
              <w:rPr>
                <w:sz w:val="18"/>
                <w:szCs w:val="18"/>
              </w:rPr>
            </w:pPr>
            <w:r w:rsidRPr="000D318A">
              <w:rPr>
                <w:sz w:val="18"/>
                <w:szCs w:val="18"/>
              </w:rPr>
              <w:t>General Information &amp; Summary</w:t>
            </w:r>
          </w:p>
        </w:tc>
      </w:tr>
      <w:tr w:rsidR="00BB6A21" w:rsidRPr="000D318A" w14:paraId="59979318" w14:textId="77777777" w:rsidTr="002B5448">
        <w:tc>
          <w:tcPr>
            <w:tcW w:w="4310" w:type="dxa"/>
          </w:tcPr>
          <w:p w14:paraId="44A64DF0" w14:textId="77777777" w:rsidR="00BB6A21" w:rsidRPr="000D318A" w:rsidRDefault="00BB6A21" w:rsidP="002B5448">
            <w:pPr>
              <w:rPr>
                <w:sz w:val="18"/>
                <w:szCs w:val="18"/>
              </w:rPr>
            </w:pPr>
            <w:r w:rsidRPr="000D318A">
              <w:rPr>
                <w:sz w:val="18"/>
                <w:szCs w:val="18"/>
              </w:rPr>
              <w:t>Sampling &amp; Analysis Team</w:t>
            </w:r>
          </w:p>
        </w:tc>
        <w:tc>
          <w:tcPr>
            <w:tcW w:w="4706" w:type="dxa"/>
            <w:gridSpan w:val="2"/>
          </w:tcPr>
          <w:p w14:paraId="3B08BF16" w14:textId="77777777" w:rsidR="00BB6A21" w:rsidRPr="000D318A" w:rsidRDefault="00BB6A21" w:rsidP="002B5448">
            <w:pPr>
              <w:rPr>
                <w:sz w:val="18"/>
                <w:szCs w:val="18"/>
              </w:rPr>
            </w:pPr>
          </w:p>
        </w:tc>
      </w:tr>
      <w:tr w:rsidR="00BB6A21" w:rsidRPr="000D318A" w14:paraId="006F3B8B" w14:textId="77777777" w:rsidTr="002B5448">
        <w:tc>
          <w:tcPr>
            <w:tcW w:w="4310" w:type="dxa"/>
          </w:tcPr>
          <w:p w14:paraId="26F2F356" w14:textId="77777777" w:rsidR="00BB6A21" w:rsidRPr="000D318A" w:rsidRDefault="00BB6A21" w:rsidP="002B5448">
            <w:pPr>
              <w:rPr>
                <w:sz w:val="18"/>
                <w:szCs w:val="18"/>
              </w:rPr>
            </w:pPr>
            <w:r w:rsidRPr="000D318A">
              <w:rPr>
                <w:sz w:val="18"/>
                <w:szCs w:val="18"/>
              </w:rPr>
              <w:t>Sampling &amp; Analysis to Support which Allergen Risk Assessment ?</w:t>
            </w:r>
          </w:p>
        </w:tc>
        <w:tc>
          <w:tcPr>
            <w:tcW w:w="4706" w:type="dxa"/>
            <w:gridSpan w:val="2"/>
          </w:tcPr>
          <w:p w14:paraId="516DE822" w14:textId="77777777" w:rsidR="00BB6A21" w:rsidRPr="000D318A" w:rsidRDefault="00BB6A21" w:rsidP="002B5448">
            <w:pPr>
              <w:rPr>
                <w:sz w:val="18"/>
                <w:szCs w:val="18"/>
              </w:rPr>
            </w:pPr>
          </w:p>
        </w:tc>
      </w:tr>
      <w:tr w:rsidR="00BB6A21" w:rsidRPr="000D318A" w14:paraId="3B9055AC" w14:textId="77777777" w:rsidTr="002B5448">
        <w:tc>
          <w:tcPr>
            <w:tcW w:w="4310" w:type="dxa"/>
          </w:tcPr>
          <w:p w14:paraId="464BF925" w14:textId="77777777" w:rsidR="00BB6A21" w:rsidRPr="000D318A" w:rsidRDefault="00BB6A21" w:rsidP="002B5448">
            <w:pPr>
              <w:rPr>
                <w:sz w:val="18"/>
                <w:szCs w:val="18"/>
              </w:rPr>
            </w:pPr>
            <w:r w:rsidRPr="000D318A">
              <w:rPr>
                <w:sz w:val="18"/>
                <w:szCs w:val="18"/>
              </w:rPr>
              <w:t>Sample description</w:t>
            </w:r>
          </w:p>
        </w:tc>
        <w:tc>
          <w:tcPr>
            <w:tcW w:w="4706" w:type="dxa"/>
            <w:gridSpan w:val="2"/>
          </w:tcPr>
          <w:p w14:paraId="6BA1DC61" w14:textId="77777777" w:rsidR="00BB6A21" w:rsidRPr="000D318A" w:rsidRDefault="00BB6A21" w:rsidP="002B5448">
            <w:pPr>
              <w:rPr>
                <w:sz w:val="18"/>
                <w:szCs w:val="18"/>
              </w:rPr>
            </w:pPr>
          </w:p>
        </w:tc>
      </w:tr>
      <w:tr w:rsidR="00BB6A21" w:rsidRPr="000D318A" w14:paraId="6BC462B9" w14:textId="77777777" w:rsidTr="002B5448">
        <w:tc>
          <w:tcPr>
            <w:tcW w:w="4310" w:type="dxa"/>
          </w:tcPr>
          <w:p w14:paraId="2B3378A2" w14:textId="77777777" w:rsidR="00BB6A21" w:rsidRPr="000D318A" w:rsidRDefault="00BB6A21" w:rsidP="002B5448">
            <w:pPr>
              <w:rPr>
                <w:sz w:val="18"/>
                <w:szCs w:val="18"/>
              </w:rPr>
            </w:pPr>
            <w:r w:rsidRPr="000D318A">
              <w:rPr>
                <w:sz w:val="18"/>
                <w:szCs w:val="18"/>
              </w:rPr>
              <w:t>Date of sample(s) taken and date of analysis performed</w:t>
            </w:r>
          </w:p>
        </w:tc>
        <w:tc>
          <w:tcPr>
            <w:tcW w:w="4706" w:type="dxa"/>
            <w:gridSpan w:val="2"/>
          </w:tcPr>
          <w:p w14:paraId="70A7ADD3" w14:textId="77777777" w:rsidR="00BB6A21" w:rsidRPr="000D318A" w:rsidRDefault="00BB6A21" w:rsidP="002B5448">
            <w:pPr>
              <w:rPr>
                <w:sz w:val="18"/>
                <w:szCs w:val="18"/>
              </w:rPr>
            </w:pPr>
          </w:p>
        </w:tc>
      </w:tr>
      <w:tr w:rsidR="00BB6A21" w:rsidRPr="000D318A" w14:paraId="48609B75" w14:textId="77777777" w:rsidTr="002B5448">
        <w:tc>
          <w:tcPr>
            <w:tcW w:w="4310" w:type="dxa"/>
          </w:tcPr>
          <w:p w14:paraId="680C42C6" w14:textId="77777777" w:rsidR="00BB6A21" w:rsidRPr="000D318A" w:rsidRDefault="00BB6A21" w:rsidP="002B5448">
            <w:pPr>
              <w:rPr>
                <w:sz w:val="18"/>
                <w:szCs w:val="18"/>
              </w:rPr>
            </w:pPr>
            <w:r w:rsidRPr="000D318A">
              <w:rPr>
                <w:sz w:val="18"/>
                <w:szCs w:val="18"/>
              </w:rPr>
              <w:t>Sample reference no.s</w:t>
            </w:r>
          </w:p>
        </w:tc>
        <w:tc>
          <w:tcPr>
            <w:tcW w:w="4706" w:type="dxa"/>
            <w:gridSpan w:val="2"/>
          </w:tcPr>
          <w:p w14:paraId="396A919A" w14:textId="77777777" w:rsidR="00BB6A21" w:rsidRPr="000D318A" w:rsidRDefault="00BB6A21" w:rsidP="002B5448">
            <w:pPr>
              <w:rPr>
                <w:sz w:val="18"/>
                <w:szCs w:val="18"/>
              </w:rPr>
            </w:pPr>
          </w:p>
        </w:tc>
      </w:tr>
      <w:tr w:rsidR="00BB6A21" w:rsidRPr="000D318A" w14:paraId="52ADFB34" w14:textId="77777777" w:rsidTr="002B5448">
        <w:tc>
          <w:tcPr>
            <w:tcW w:w="4310" w:type="dxa"/>
          </w:tcPr>
          <w:p w14:paraId="3D38C187" w14:textId="77777777" w:rsidR="00BB6A21" w:rsidRPr="000D318A" w:rsidRDefault="00BB6A21" w:rsidP="002B5448">
            <w:pPr>
              <w:rPr>
                <w:sz w:val="18"/>
                <w:szCs w:val="18"/>
              </w:rPr>
            </w:pPr>
            <w:r w:rsidRPr="000D318A">
              <w:rPr>
                <w:sz w:val="18"/>
                <w:szCs w:val="18"/>
              </w:rPr>
              <w:t xml:space="preserve">Type of samples </w:t>
            </w:r>
          </w:p>
        </w:tc>
        <w:tc>
          <w:tcPr>
            <w:tcW w:w="1675" w:type="dxa"/>
          </w:tcPr>
          <w:p w14:paraId="456532B5" w14:textId="77777777" w:rsidR="00BB6A21" w:rsidRPr="000D318A" w:rsidRDefault="0084417E" w:rsidP="002B5448">
            <w:pPr>
              <w:rPr>
                <w:sz w:val="18"/>
                <w:szCs w:val="18"/>
              </w:rPr>
            </w:pPr>
            <w:sdt>
              <w:sdtPr>
                <w:rPr>
                  <w:sz w:val="18"/>
                  <w:szCs w:val="18"/>
                </w:rPr>
                <w:id w:val="-1621371788"/>
                <w14:checkbox>
                  <w14:checked w14:val="0"/>
                  <w14:checkedState w14:val="2612" w14:font="MS Gothic"/>
                  <w14:uncheckedState w14:val="2610" w14:font="MS Gothic"/>
                </w14:checkbox>
              </w:sdtPr>
              <w:sdtEndPr/>
              <w:sdtContent>
                <w:r w:rsidR="00BB6A21" w:rsidRPr="000D318A">
                  <w:rPr>
                    <w:rFonts w:ascii="Segoe UI Symbol" w:eastAsia="MS Gothic" w:hAnsi="Segoe UI Symbol" w:cs="Segoe UI Symbol"/>
                    <w:sz w:val="18"/>
                    <w:szCs w:val="18"/>
                  </w:rPr>
                  <w:t>☐</w:t>
                </w:r>
              </w:sdtContent>
            </w:sdt>
            <w:r w:rsidR="00BB6A21" w:rsidRPr="000D318A">
              <w:rPr>
                <w:sz w:val="18"/>
                <w:szCs w:val="18"/>
              </w:rPr>
              <w:t xml:space="preserve"> Upstream</w:t>
            </w:r>
          </w:p>
          <w:p w14:paraId="56571B5A" w14:textId="77777777" w:rsidR="00BB6A21" w:rsidRPr="000D318A" w:rsidRDefault="0084417E" w:rsidP="002B5448">
            <w:pPr>
              <w:rPr>
                <w:sz w:val="18"/>
                <w:szCs w:val="18"/>
              </w:rPr>
            </w:pPr>
            <w:sdt>
              <w:sdtPr>
                <w:rPr>
                  <w:sz w:val="18"/>
                  <w:szCs w:val="18"/>
                </w:rPr>
                <w:id w:val="-778181658"/>
                <w14:checkbox>
                  <w14:checked w14:val="0"/>
                  <w14:checkedState w14:val="2612" w14:font="MS Gothic"/>
                  <w14:uncheckedState w14:val="2610" w14:font="MS Gothic"/>
                </w14:checkbox>
              </w:sdtPr>
              <w:sdtEndPr/>
              <w:sdtContent>
                <w:r w:rsidR="00BB6A21" w:rsidRPr="000D318A">
                  <w:rPr>
                    <w:rFonts w:ascii="Segoe UI Symbol" w:hAnsi="Segoe UI Symbol" w:cs="Segoe UI Symbol"/>
                    <w:sz w:val="18"/>
                    <w:szCs w:val="18"/>
                  </w:rPr>
                  <w:t>☐</w:t>
                </w:r>
              </w:sdtContent>
            </w:sdt>
            <w:r w:rsidR="00BB6A21" w:rsidRPr="000D318A">
              <w:rPr>
                <w:sz w:val="18"/>
                <w:szCs w:val="18"/>
              </w:rPr>
              <w:t xml:space="preserve"> In-house </w:t>
            </w:r>
          </w:p>
          <w:p w14:paraId="66C11E1D" w14:textId="77777777" w:rsidR="00BB6A21" w:rsidRPr="000D318A" w:rsidRDefault="0084417E" w:rsidP="002B5448">
            <w:pPr>
              <w:jc w:val="left"/>
              <w:rPr>
                <w:sz w:val="18"/>
                <w:szCs w:val="18"/>
              </w:rPr>
            </w:pPr>
            <w:sdt>
              <w:sdtPr>
                <w:rPr>
                  <w:sz w:val="18"/>
                  <w:szCs w:val="18"/>
                </w:rPr>
                <w:id w:val="1646546625"/>
                <w14:checkbox>
                  <w14:checked w14:val="0"/>
                  <w14:checkedState w14:val="2612" w14:font="MS Gothic"/>
                  <w14:uncheckedState w14:val="2610" w14:font="MS Gothic"/>
                </w14:checkbox>
              </w:sdtPr>
              <w:sdtEndPr/>
              <w:sdtContent>
                <w:r w:rsidR="00BB6A21" w:rsidRPr="000D318A">
                  <w:rPr>
                    <w:rFonts w:ascii="Segoe UI Symbol" w:hAnsi="Segoe UI Symbol" w:cs="Segoe UI Symbol"/>
                    <w:sz w:val="18"/>
                    <w:szCs w:val="18"/>
                  </w:rPr>
                  <w:t>☐</w:t>
                </w:r>
              </w:sdtContent>
            </w:sdt>
            <w:r w:rsidR="00BB6A21" w:rsidRPr="000D318A">
              <w:rPr>
                <w:sz w:val="18"/>
                <w:szCs w:val="18"/>
              </w:rPr>
              <w:t xml:space="preserve"> Down-stream</w:t>
            </w:r>
          </w:p>
        </w:tc>
        <w:tc>
          <w:tcPr>
            <w:tcW w:w="3031" w:type="dxa"/>
          </w:tcPr>
          <w:p w14:paraId="19AD373F" w14:textId="77777777" w:rsidR="00BB6A21" w:rsidRPr="000D318A" w:rsidRDefault="00BB6A21" w:rsidP="002B5448">
            <w:pPr>
              <w:rPr>
                <w:sz w:val="18"/>
                <w:szCs w:val="18"/>
              </w:rPr>
            </w:pPr>
            <w:r w:rsidRPr="000D318A">
              <w:rPr>
                <w:sz w:val="18"/>
                <w:szCs w:val="18"/>
              </w:rPr>
              <w:t>Description of sample type:</w:t>
            </w:r>
          </w:p>
          <w:p w14:paraId="252D3744" w14:textId="77777777" w:rsidR="00BB6A21" w:rsidRPr="000D318A" w:rsidRDefault="00BB6A21" w:rsidP="002B5448">
            <w:pPr>
              <w:rPr>
                <w:sz w:val="18"/>
                <w:szCs w:val="18"/>
              </w:rPr>
            </w:pPr>
            <w:r w:rsidRPr="000D318A">
              <w:rPr>
                <w:sz w:val="18"/>
                <w:szCs w:val="18"/>
              </w:rPr>
              <w:t>E.g., no. samples from batch of compound food</w:t>
            </w:r>
          </w:p>
        </w:tc>
      </w:tr>
      <w:tr w:rsidR="00BB6A21" w:rsidRPr="000D318A" w14:paraId="3655B369" w14:textId="77777777" w:rsidTr="002B5448">
        <w:tc>
          <w:tcPr>
            <w:tcW w:w="4310" w:type="dxa"/>
          </w:tcPr>
          <w:p w14:paraId="778AC903" w14:textId="77777777" w:rsidR="00BB6A21" w:rsidRPr="000D318A" w:rsidRDefault="00BB6A21" w:rsidP="002B5448">
            <w:pPr>
              <w:spacing w:after="120"/>
              <w:rPr>
                <w:sz w:val="18"/>
                <w:szCs w:val="18"/>
              </w:rPr>
            </w:pPr>
            <w:r w:rsidRPr="000D318A">
              <w:rPr>
                <w:sz w:val="18"/>
                <w:szCs w:val="18"/>
              </w:rPr>
              <w:t>Sample preparation</w:t>
            </w:r>
          </w:p>
        </w:tc>
        <w:tc>
          <w:tcPr>
            <w:tcW w:w="4706" w:type="dxa"/>
            <w:gridSpan w:val="2"/>
          </w:tcPr>
          <w:p w14:paraId="224E711A" w14:textId="77777777" w:rsidR="00BB6A21" w:rsidRPr="000D318A" w:rsidRDefault="00BB6A21" w:rsidP="002B5448">
            <w:pPr>
              <w:spacing w:after="120"/>
              <w:rPr>
                <w:sz w:val="18"/>
                <w:szCs w:val="18"/>
              </w:rPr>
            </w:pPr>
            <w:r w:rsidRPr="000D318A">
              <w:rPr>
                <w:sz w:val="18"/>
                <w:szCs w:val="18"/>
              </w:rPr>
              <w:t>e.g., individual samples, composite of 3 finished products, test portion and aliquot</w:t>
            </w:r>
          </w:p>
        </w:tc>
      </w:tr>
      <w:tr w:rsidR="00BB6A21" w:rsidRPr="000D318A" w14:paraId="72A63DB4" w14:textId="77777777" w:rsidTr="002B5448">
        <w:tc>
          <w:tcPr>
            <w:tcW w:w="4310" w:type="dxa"/>
          </w:tcPr>
          <w:p w14:paraId="10D08921" w14:textId="77777777" w:rsidR="00BB6A21" w:rsidRPr="000D318A" w:rsidRDefault="00BB6A21" w:rsidP="002B5448">
            <w:pPr>
              <w:spacing w:after="120"/>
              <w:rPr>
                <w:sz w:val="18"/>
                <w:szCs w:val="18"/>
              </w:rPr>
            </w:pPr>
            <w:r w:rsidRPr="000D318A">
              <w:rPr>
                <w:sz w:val="18"/>
                <w:szCs w:val="18"/>
              </w:rPr>
              <w:t>Sample retention</w:t>
            </w:r>
          </w:p>
        </w:tc>
        <w:tc>
          <w:tcPr>
            <w:tcW w:w="4706" w:type="dxa"/>
            <w:gridSpan w:val="2"/>
          </w:tcPr>
          <w:p w14:paraId="2B29837E" w14:textId="77777777" w:rsidR="00BB6A21" w:rsidRPr="000D318A" w:rsidRDefault="00BB6A21" w:rsidP="002B5448">
            <w:pPr>
              <w:spacing w:after="120"/>
              <w:rPr>
                <w:sz w:val="18"/>
                <w:szCs w:val="18"/>
              </w:rPr>
            </w:pPr>
          </w:p>
        </w:tc>
      </w:tr>
      <w:tr w:rsidR="00BB6A21" w:rsidRPr="000D318A" w14:paraId="5F35F80A" w14:textId="77777777" w:rsidTr="002B5448">
        <w:tc>
          <w:tcPr>
            <w:tcW w:w="4310" w:type="dxa"/>
          </w:tcPr>
          <w:p w14:paraId="6E9A26C9" w14:textId="77777777" w:rsidR="00BB6A21" w:rsidRPr="000D318A" w:rsidRDefault="00BB6A21" w:rsidP="002B5448">
            <w:pPr>
              <w:rPr>
                <w:sz w:val="18"/>
                <w:szCs w:val="18"/>
              </w:rPr>
            </w:pPr>
            <w:r w:rsidRPr="000D318A">
              <w:rPr>
                <w:sz w:val="18"/>
                <w:szCs w:val="18"/>
              </w:rPr>
              <w:t>Result(s) and Interpretation</w:t>
            </w:r>
          </w:p>
        </w:tc>
        <w:tc>
          <w:tcPr>
            <w:tcW w:w="4706" w:type="dxa"/>
            <w:gridSpan w:val="2"/>
          </w:tcPr>
          <w:p w14:paraId="2ACEEBBA" w14:textId="77777777" w:rsidR="00BB6A21" w:rsidRPr="000D318A" w:rsidRDefault="00BB6A21" w:rsidP="002B5448">
            <w:pPr>
              <w:rPr>
                <w:sz w:val="18"/>
                <w:szCs w:val="18"/>
              </w:rPr>
            </w:pPr>
          </w:p>
        </w:tc>
      </w:tr>
      <w:tr w:rsidR="00BB6A21" w:rsidRPr="000D318A" w14:paraId="6F11660E" w14:textId="77777777" w:rsidTr="002B5448">
        <w:tc>
          <w:tcPr>
            <w:tcW w:w="4310" w:type="dxa"/>
          </w:tcPr>
          <w:p w14:paraId="34797DB0" w14:textId="77777777" w:rsidR="00BB6A21" w:rsidRPr="000D318A" w:rsidRDefault="00BB6A21" w:rsidP="002B5448">
            <w:pPr>
              <w:rPr>
                <w:sz w:val="18"/>
                <w:szCs w:val="18"/>
              </w:rPr>
            </w:pPr>
            <w:r w:rsidRPr="000D318A">
              <w:rPr>
                <w:sz w:val="18"/>
                <w:szCs w:val="18"/>
              </w:rPr>
              <w:t>Quality of sampling evidence</w:t>
            </w:r>
          </w:p>
        </w:tc>
        <w:tc>
          <w:tcPr>
            <w:tcW w:w="4706" w:type="dxa"/>
            <w:gridSpan w:val="2"/>
          </w:tcPr>
          <w:p w14:paraId="33D78B8D" w14:textId="77777777" w:rsidR="00BB6A21" w:rsidRPr="000D318A" w:rsidRDefault="00BB6A21" w:rsidP="002B5448">
            <w:pPr>
              <w:spacing w:after="120"/>
              <w:rPr>
                <w:sz w:val="18"/>
                <w:szCs w:val="18"/>
              </w:rPr>
            </w:pPr>
            <w:r w:rsidRPr="000D318A">
              <w:rPr>
                <w:sz w:val="18"/>
                <w:szCs w:val="18"/>
              </w:rPr>
              <w:t>Acceptable, medium or low quality of evidence</w:t>
            </w:r>
          </w:p>
        </w:tc>
      </w:tr>
    </w:tbl>
    <w:p w14:paraId="09850C05" w14:textId="77777777" w:rsidR="00BB6A21" w:rsidRPr="000D318A" w:rsidRDefault="00BB6A21" w:rsidP="00BB6A21">
      <w:pPr>
        <w:spacing w:before="360" w:after="120"/>
        <w:rPr>
          <w:sz w:val="18"/>
          <w:szCs w:val="18"/>
        </w:rPr>
      </w:pPr>
      <w:r w:rsidRPr="000D318A">
        <w:rPr>
          <w:sz w:val="18"/>
          <w:szCs w:val="18"/>
        </w:rPr>
        <w:t>Sampling &amp; Analysis Matrix</w:t>
      </w:r>
    </w:p>
    <w:tbl>
      <w:tblPr>
        <w:tblStyle w:val="TableGrid"/>
        <w:tblW w:w="0" w:type="auto"/>
        <w:tblLook w:val="04A0" w:firstRow="1" w:lastRow="0" w:firstColumn="1" w:lastColumn="0" w:noHBand="0" w:noVBand="1"/>
      </w:tblPr>
      <w:tblGrid>
        <w:gridCol w:w="3964"/>
        <w:gridCol w:w="5052"/>
      </w:tblGrid>
      <w:tr w:rsidR="00BB6A21" w:rsidRPr="000D318A" w14:paraId="137C57A6" w14:textId="77777777" w:rsidTr="002B5448">
        <w:tc>
          <w:tcPr>
            <w:tcW w:w="9016" w:type="dxa"/>
            <w:gridSpan w:val="2"/>
            <w:shd w:val="clear" w:color="auto" w:fill="FF99CC"/>
          </w:tcPr>
          <w:p w14:paraId="502AC2B4" w14:textId="77777777" w:rsidR="00BB6A21" w:rsidRPr="000D318A" w:rsidRDefault="00BB6A21" w:rsidP="002B5448">
            <w:pPr>
              <w:rPr>
                <w:sz w:val="18"/>
                <w:szCs w:val="18"/>
              </w:rPr>
            </w:pPr>
            <w:r w:rsidRPr="000D318A">
              <w:rPr>
                <w:sz w:val="18"/>
                <w:szCs w:val="18"/>
              </w:rPr>
              <w:t>Section 1: Immediate Action</w:t>
            </w:r>
          </w:p>
        </w:tc>
      </w:tr>
      <w:tr w:rsidR="00BB6A21" w:rsidRPr="000D318A" w14:paraId="0A0161F1" w14:textId="77777777" w:rsidTr="002B5448">
        <w:tc>
          <w:tcPr>
            <w:tcW w:w="3964" w:type="dxa"/>
            <w:shd w:val="clear" w:color="auto" w:fill="auto"/>
          </w:tcPr>
          <w:p w14:paraId="243B3022" w14:textId="77777777" w:rsidR="00BB6A21" w:rsidRPr="000D318A" w:rsidRDefault="00BB6A21" w:rsidP="002B5448">
            <w:pPr>
              <w:spacing w:after="120"/>
              <w:rPr>
                <w:sz w:val="18"/>
                <w:szCs w:val="18"/>
              </w:rPr>
            </w:pPr>
            <w:r w:rsidRPr="000D318A">
              <w:rPr>
                <w:sz w:val="18"/>
                <w:szCs w:val="18"/>
              </w:rPr>
              <w:t>Why is analytical data needed to support the risk assessment ?</w:t>
            </w:r>
          </w:p>
        </w:tc>
        <w:tc>
          <w:tcPr>
            <w:tcW w:w="5052" w:type="dxa"/>
            <w:shd w:val="clear" w:color="auto" w:fill="auto"/>
          </w:tcPr>
          <w:p w14:paraId="0DB23E01" w14:textId="77777777" w:rsidR="00BB6A21" w:rsidRPr="000D318A" w:rsidRDefault="00BB6A21" w:rsidP="002B5448">
            <w:pPr>
              <w:spacing w:after="120"/>
              <w:rPr>
                <w:sz w:val="18"/>
                <w:szCs w:val="18"/>
              </w:rPr>
            </w:pPr>
            <w:r w:rsidRPr="000D318A">
              <w:rPr>
                <w:sz w:val="18"/>
                <w:szCs w:val="18"/>
              </w:rPr>
              <w:t>e.g. data needed to verify carry-over calculation</w:t>
            </w:r>
          </w:p>
        </w:tc>
      </w:tr>
      <w:tr w:rsidR="00BB6A21" w:rsidRPr="000D318A" w14:paraId="09A1D88E" w14:textId="77777777" w:rsidTr="002B5448">
        <w:tc>
          <w:tcPr>
            <w:tcW w:w="3964" w:type="dxa"/>
            <w:tcBorders>
              <w:bottom w:val="single" w:sz="4" w:space="0" w:color="000000" w:themeColor="text1"/>
            </w:tcBorders>
            <w:shd w:val="clear" w:color="auto" w:fill="auto"/>
          </w:tcPr>
          <w:p w14:paraId="72170927" w14:textId="77777777" w:rsidR="00BB6A21" w:rsidRPr="000D318A" w:rsidRDefault="00BB6A21" w:rsidP="002B5448">
            <w:pPr>
              <w:spacing w:after="120"/>
              <w:rPr>
                <w:sz w:val="18"/>
                <w:szCs w:val="18"/>
              </w:rPr>
            </w:pPr>
            <w:r w:rsidRPr="000D318A">
              <w:rPr>
                <w:sz w:val="18"/>
                <w:szCs w:val="18"/>
              </w:rPr>
              <w:t>Availability of material to sample</w:t>
            </w:r>
          </w:p>
        </w:tc>
        <w:tc>
          <w:tcPr>
            <w:tcW w:w="5052" w:type="dxa"/>
            <w:tcBorders>
              <w:bottom w:val="single" w:sz="4" w:space="0" w:color="000000" w:themeColor="text1"/>
            </w:tcBorders>
            <w:shd w:val="clear" w:color="auto" w:fill="auto"/>
          </w:tcPr>
          <w:p w14:paraId="78C71C9E" w14:textId="77777777" w:rsidR="00BB6A21" w:rsidRPr="000D318A" w:rsidRDefault="00BB6A21" w:rsidP="002B5448">
            <w:pPr>
              <w:spacing w:after="120"/>
              <w:rPr>
                <w:sz w:val="18"/>
                <w:szCs w:val="18"/>
              </w:rPr>
            </w:pPr>
            <w:r w:rsidRPr="000D318A">
              <w:rPr>
                <w:sz w:val="18"/>
                <w:szCs w:val="18"/>
              </w:rPr>
              <w:t>e.g. a production lot (volume) is available for sampling, or a single product returned from market is available</w:t>
            </w:r>
          </w:p>
        </w:tc>
      </w:tr>
      <w:tr w:rsidR="00BB6A21" w:rsidRPr="000D318A" w14:paraId="379E2E31" w14:textId="77777777" w:rsidTr="002B5448">
        <w:tc>
          <w:tcPr>
            <w:tcW w:w="9016" w:type="dxa"/>
            <w:gridSpan w:val="2"/>
            <w:shd w:val="clear" w:color="auto" w:fill="FF99CC"/>
          </w:tcPr>
          <w:p w14:paraId="20FD7C81" w14:textId="77777777" w:rsidR="00BB6A21" w:rsidRPr="000D318A" w:rsidRDefault="00BB6A21" w:rsidP="002B5448">
            <w:pPr>
              <w:rPr>
                <w:sz w:val="18"/>
                <w:szCs w:val="18"/>
              </w:rPr>
            </w:pPr>
            <w:r w:rsidRPr="000D318A">
              <w:rPr>
                <w:sz w:val="18"/>
                <w:szCs w:val="18"/>
              </w:rPr>
              <w:t>Representativeness of Material</w:t>
            </w:r>
          </w:p>
        </w:tc>
      </w:tr>
      <w:tr w:rsidR="00BB6A21" w:rsidRPr="000D318A" w14:paraId="35B4AF41" w14:textId="77777777" w:rsidTr="002B5448">
        <w:tc>
          <w:tcPr>
            <w:tcW w:w="3964" w:type="dxa"/>
            <w:shd w:val="clear" w:color="auto" w:fill="auto"/>
          </w:tcPr>
          <w:p w14:paraId="4A5ED2A9" w14:textId="77777777" w:rsidR="00BB6A21" w:rsidRPr="000D318A" w:rsidRDefault="00BB6A21" w:rsidP="002B5448">
            <w:pPr>
              <w:spacing w:after="120"/>
              <w:rPr>
                <w:sz w:val="18"/>
                <w:szCs w:val="18"/>
              </w:rPr>
            </w:pPr>
            <w:r w:rsidRPr="000D318A">
              <w:rPr>
                <w:color w:val="FFFFFF" w:themeColor="background1"/>
                <w:sz w:val="18"/>
                <w:szCs w:val="18"/>
                <w:shd w:val="clear" w:color="auto" w:fill="FF0000"/>
              </w:rPr>
              <w:t>A</w:t>
            </w:r>
            <w:r w:rsidRPr="000D318A">
              <w:rPr>
                <w:sz w:val="18"/>
                <w:szCs w:val="18"/>
              </w:rPr>
              <w:t xml:space="preserve"> - Representativeness</w:t>
            </w:r>
          </w:p>
        </w:tc>
        <w:tc>
          <w:tcPr>
            <w:tcW w:w="5052" w:type="dxa"/>
            <w:shd w:val="clear" w:color="auto" w:fill="auto"/>
          </w:tcPr>
          <w:p w14:paraId="32C47476" w14:textId="77777777" w:rsidR="00BB6A21" w:rsidRPr="000D318A" w:rsidRDefault="00BB6A21" w:rsidP="002B5448">
            <w:pPr>
              <w:spacing w:after="120"/>
              <w:rPr>
                <w:sz w:val="18"/>
                <w:szCs w:val="18"/>
              </w:rPr>
            </w:pPr>
            <w:r w:rsidRPr="000D318A">
              <w:rPr>
                <w:sz w:val="18"/>
                <w:szCs w:val="18"/>
              </w:rPr>
              <w:t>Notes</w:t>
            </w:r>
          </w:p>
        </w:tc>
      </w:tr>
      <w:tr w:rsidR="00BB6A21" w:rsidRPr="000D318A" w14:paraId="4EF3AA1B" w14:textId="77777777" w:rsidTr="002B5448">
        <w:tc>
          <w:tcPr>
            <w:tcW w:w="3964" w:type="dxa"/>
            <w:shd w:val="clear" w:color="auto" w:fill="auto"/>
          </w:tcPr>
          <w:p w14:paraId="6FB42907" w14:textId="77777777" w:rsidR="00BB6A21" w:rsidRPr="000D318A" w:rsidRDefault="00BB6A21" w:rsidP="002B5448">
            <w:pPr>
              <w:rPr>
                <w:sz w:val="18"/>
                <w:szCs w:val="18"/>
              </w:rPr>
            </w:pPr>
            <w:r w:rsidRPr="000D318A">
              <w:rPr>
                <w:sz w:val="18"/>
                <w:szCs w:val="18"/>
              </w:rPr>
              <w:t xml:space="preserve">3 </w:t>
            </w:r>
            <w:sdt>
              <w:sdtPr>
                <w:rPr>
                  <w:sz w:val="18"/>
                  <w:szCs w:val="18"/>
                </w:rPr>
                <w:id w:val="-1854103960"/>
                <w14:checkbox>
                  <w14:checked w14:val="0"/>
                  <w14:checkedState w14:val="2612" w14:font="MS Gothic"/>
                  <w14:uncheckedState w14:val="2610" w14:font="MS Gothic"/>
                </w14:checkbox>
              </w:sdtPr>
              <w:sdtEndPr/>
              <w:sdtContent>
                <w:r w:rsidRPr="000D318A">
                  <w:rPr>
                    <w:rFonts w:ascii="Segoe UI Symbol" w:eastAsia="MS Gothic" w:hAnsi="Segoe UI Symbol" w:cs="Segoe UI Symbol"/>
                    <w:sz w:val="18"/>
                    <w:szCs w:val="18"/>
                  </w:rPr>
                  <w:t>☐</w:t>
                </w:r>
              </w:sdtContent>
            </w:sdt>
            <w:r w:rsidRPr="000D318A">
              <w:rPr>
                <w:sz w:val="18"/>
                <w:szCs w:val="18"/>
              </w:rPr>
              <w:t xml:space="preserve">  High </w:t>
            </w:r>
          </w:p>
        </w:tc>
        <w:tc>
          <w:tcPr>
            <w:tcW w:w="5052" w:type="dxa"/>
            <w:vMerge w:val="restart"/>
            <w:shd w:val="clear" w:color="auto" w:fill="auto"/>
          </w:tcPr>
          <w:p w14:paraId="6D96D844" w14:textId="77777777" w:rsidR="00BB6A21" w:rsidRPr="000D318A" w:rsidRDefault="00BB6A21" w:rsidP="002B5448">
            <w:pPr>
              <w:spacing w:after="120"/>
              <w:rPr>
                <w:sz w:val="18"/>
                <w:szCs w:val="18"/>
              </w:rPr>
            </w:pPr>
            <w:r w:rsidRPr="000D318A">
              <w:rPr>
                <w:sz w:val="18"/>
                <w:szCs w:val="18"/>
              </w:rPr>
              <w:t>Describe how the available material to sample is representative of the material for which the risk assessment is being conducted, e.g. material from the batch with potential UAP via carry-over (high). Finished product for which claim is being made (high). The same finished product associated with an on-market incident, but not the same lot (medium). Ingredient from one supplier being tested as representative of all suppliers (low).</w:t>
            </w:r>
          </w:p>
        </w:tc>
      </w:tr>
      <w:tr w:rsidR="00BB6A21" w:rsidRPr="000D318A" w14:paraId="7728356A" w14:textId="77777777" w:rsidTr="002B5448">
        <w:tc>
          <w:tcPr>
            <w:tcW w:w="3964" w:type="dxa"/>
            <w:shd w:val="clear" w:color="auto" w:fill="auto"/>
          </w:tcPr>
          <w:p w14:paraId="74D19BF5" w14:textId="77777777" w:rsidR="00BB6A21" w:rsidRPr="000D318A" w:rsidRDefault="00BB6A21" w:rsidP="002B5448">
            <w:pPr>
              <w:rPr>
                <w:sz w:val="18"/>
                <w:szCs w:val="18"/>
              </w:rPr>
            </w:pPr>
            <w:r w:rsidRPr="000D318A">
              <w:rPr>
                <w:sz w:val="18"/>
                <w:szCs w:val="18"/>
              </w:rPr>
              <w:t xml:space="preserve">2 </w:t>
            </w:r>
            <w:sdt>
              <w:sdtPr>
                <w:rPr>
                  <w:sz w:val="18"/>
                  <w:szCs w:val="18"/>
                </w:rPr>
                <w:id w:val="1667519393"/>
                <w14:checkbox>
                  <w14:checked w14:val="0"/>
                  <w14:checkedState w14:val="2612" w14:font="MS Gothic"/>
                  <w14:uncheckedState w14:val="2610" w14:font="MS Gothic"/>
                </w14:checkbox>
              </w:sdtPr>
              <w:sdtEndPr/>
              <w:sdtContent>
                <w:r w:rsidRPr="000D318A">
                  <w:rPr>
                    <w:rFonts w:ascii="Segoe UI Symbol" w:hAnsi="Segoe UI Symbol" w:cs="Segoe UI Symbol"/>
                    <w:sz w:val="18"/>
                    <w:szCs w:val="18"/>
                  </w:rPr>
                  <w:t>☐</w:t>
                </w:r>
              </w:sdtContent>
            </w:sdt>
            <w:r w:rsidRPr="000D318A">
              <w:rPr>
                <w:sz w:val="18"/>
                <w:szCs w:val="18"/>
              </w:rPr>
              <w:t xml:space="preserve">  Medium</w:t>
            </w:r>
          </w:p>
        </w:tc>
        <w:tc>
          <w:tcPr>
            <w:tcW w:w="5052" w:type="dxa"/>
            <w:vMerge/>
          </w:tcPr>
          <w:p w14:paraId="2858F127" w14:textId="77777777" w:rsidR="00BB6A21" w:rsidRPr="000D318A" w:rsidRDefault="00BB6A21" w:rsidP="002B5448">
            <w:pPr>
              <w:rPr>
                <w:sz w:val="18"/>
                <w:szCs w:val="18"/>
                <w:highlight w:val="yellow"/>
              </w:rPr>
            </w:pPr>
          </w:p>
        </w:tc>
      </w:tr>
      <w:tr w:rsidR="00BB6A21" w:rsidRPr="000D318A" w14:paraId="7BB3AC6C" w14:textId="77777777" w:rsidTr="002B5448">
        <w:tc>
          <w:tcPr>
            <w:tcW w:w="3964" w:type="dxa"/>
            <w:shd w:val="clear" w:color="auto" w:fill="auto"/>
          </w:tcPr>
          <w:p w14:paraId="5C9611F3" w14:textId="77777777" w:rsidR="00BB6A21" w:rsidRPr="000D318A" w:rsidRDefault="00BB6A21" w:rsidP="002B5448">
            <w:pPr>
              <w:rPr>
                <w:sz w:val="18"/>
                <w:szCs w:val="18"/>
              </w:rPr>
            </w:pPr>
            <w:r w:rsidRPr="000D318A">
              <w:rPr>
                <w:sz w:val="18"/>
                <w:szCs w:val="18"/>
              </w:rPr>
              <w:t xml:space="preserve">1 </w:t>
            </w:r>
            <w:sdt>
              <w:sdtPr>
                <w:rPr>
                  <w:sz w:val="18"/>
                  <w:szCs w:val="18"/>
                </w:rPr>
                <w:id w:val="-1665011562"/>
                <w14:checkbox>
                  <w14:checked w14:val="0"/>
                  <w14:checkedState w14:val="2612" w14:font="MS Gothic"/>
                  <w14:uncheckedState w14:val="2610" w14:font="MS Gothic"/>
                </w14:checkbox>
              </w:sdtPr>
              <w:sdtEndPr/>
              <w:sdtContent>
                <w:r w:rsidRPr="000D318A">
                  <w:rPr>
                    <w:rFonts w:ascii="Segoe UI Symbol" w:hAnsi="Segoe UI Symbol" w:cs="Segoe UI Symbol"/>
                    <w:sz w:val="18"/>
                    <w:szCs w:val="18"/>
                  </w:rPr>
                  <w:t>☐</w:t>
                </w:r>
              </w:sdtContent>
            </w:sdt>
            <w:r w:rsidRPr="000D318A">
              <w:rPr>
                <w:sz w:val="18"/>
                <w:szCs w:val="18"/>
              </w:rPr>
              <w:t xml:space="preserve">  Low or unknown</w:t>
            </w:r>
          </w:p>
        </w:tc>
        <w:tc>
          <w:tcPr>
            <w:tcW w:w="5052" w:type="dxa"/>
            <w:vMerge/>
          </w:tcPr>
          <w:p w14:paraId="043B8D98" w14:textId="77777777" w:rsidR="00BB6A21" w:rsidRPr="000D318A" w:rsidRDefault="00BB6A21" w:rsidP="002B5448">
            <w:pPr>
              <w:rPr>
                <w:sz w:val="18"/>
                <w:szCs w:val="18"/>
                <w:highlight w:val="yellow"/>
              </w:rPr>
            </w:pPr>
          </w:p>
        </w:tc>
      </w:tr>
    </w:tbl>
    <w:p w14:paraId="4134FC3F" w14:textId="77777777" w:rsidR="00C40165" w:rsidRDefault="00C40165">
      <w:r>
        <w:br w:type="page"/>
      </w:r>
    </w:p>
    <w:tbl>
      <w:tblPr>
        <w:tblStyle w:val="TableGrid"/>
        <w:tblW w:w="0" w:type="auto"/>
        <w:tblLook w:val="04A0" w:firstRow="1" w:lastRow="0" w:firstColumn="1" w:lastColumn="0" w:noHBand="0" w:noVBand="1"/>
      </w:tblPr>
      <w:tblGrid>
        <w:gridCol w:w="3964"/>
        <w:gridCol w:w="5052"/>
      </w:tblGrid>
      <w:tr w:rsidR="00BB6A21" w:rsidRPr="000D318A" w14:paraId="64B6EE4F" w14:textId="77777777" w:rsidTr="002B5448">
        <w:tc>
          <w:tcPr>
            <w:tcW w:w="9016" w:type="dxa"/>
            <w:gridSpan w:val="2"/>
            <w:shd w:val="clear" w:color="auto" w:fill="FBE5D6"/>
          </w:tcPr>
          <w:p w14:paraId="36EAB1E2" w14:textId="4124F0C1" w:rsidR="00BB6A21" w:rsidRPr="000D318A" w:rsidRDefault="00BB6A21" w:rsidP="002B5448">
            <w:pPr>
              <w:rPr>
                <w:sz w:val="18"/>
                <w:szCs w:val="18"/>
                <w:highlight w:val="yellow"/>
              </w:rPr>
            </w:pPr>
            <w:r w:rsidRPr="000D318A">
              <w:rPr>
                <w:sz w:val="18"/>
                <w:szCs w:val="18"/>
              </w:rPr>
              <w:lastRenderedPageBreak/>
              <w:t>Section 2: Core Inputs</w:t>
            </w:r>
          </w:p>
        </w:tc>
      </w:tr>
      <w:tr w:rsidR="00BB6A21" w:rsidRPr="000D318A" w14:paraId="599E3D04" w14:textId="77777777" w:rsidTr="002B5448">
        <w:tc>
          <w:tcPr>
            <w:tcW w:w="3964" w:type="dxa"/>
            <w:shd w:val="clear" w:color="auto" w:fill="auto"/>
          </w:tcPr>
          <w:p w14:paraId="58E14A47" w14:textId="77777777" w:rsidR="00BB6A21" w:rsidRPr="000D318A" w:rsidRDefault="00BB6A21" w:rsidP="002B5448">
            <w:pPr>
              <w:spacing w:after="120"/>
              <w:rPr>
                <w:sz w:val="18"/>
                <w:szCs w:val="18"/>
              </w:rPr>
            </w:pPr>
            <w:r w:rsidRPr="000D318A">
              <w:rPr>
                <w:sz w:val="18"/>
                <w:szCs w:val="18"/>
              </w:rPr>
              <w:t>Suitability of the analytical method (food matrix and sensitivity)</w:t>
            </w:r>
          </w:p>
          <w:p w14:paraId="55EB701D" w14:textId="77777777" w:rsidR="00BB6A21" w:rsidRPr="000D318A" w:rsidRDefault="00BB6A21" w:rsidP="002B5448">
            <w:pPr>
              <w:spacing w:after="120"/>
              <w:rPr>
                <w:sz w:val="18"/>
                <w:szCs w:val="18"/>
              </w:rPr>
            </w:pPr>
          </w:p>
        </w:tc>
        <w:tc>
          <w:tcPr>
            <w:tcW w:w="5052" w:type="dxa"/>
            <w:shd w:val="clear" w:color="auto" w:fill="auto"/>
          </w:tcPr>
          <w:p w14:paraId="4438FF12" w14:textId="77777777" w:rsidR="00BB6A21" w:rsidRPr="000D318A" w:rsidRDefault="00BB6A21" w:rsidP="002B5448">
            <w:pPr>
              <w:spacing w:after="120"/>
              <w:rPr>
                <w:b/>
                <w:bCs/>
                <w:sz w:val="18"/>
                <w:szCs w:val="18"/>
                <w:highlight w:val="yellow"/>
              </w:rPr>
            </w:pPr>
            <w:r w:rsidRPr="000D318A">
              <w:rPr>
                <w:sz w:val="18"/>
                <w:szCs w:val="18"/>
              </w:rPr>
              <w:t>Can the analytical method detect / quantify the allergen in proposed samples at a sufficient sensitivity to facilitate risk assessment ?</w:t>
            </w:r>
          </w:p>
        </w:tc>
      </w:tr>
      <w:tr w:rsidR="00BB6A21" w:rsidRPr="000D318A" w14:paraId="1C7BF567" w14:textId="77777777" w:rsidTr="002B5448">
        <w:tc>
          <w:tcPr>
            <w:tcW w:w="3964" w:type="dxa"/>
            <w:tcBorders>
              <w:bottom w:val="single" w:sz="4" w:space="0" w:color="000000" w:themeColor="text1"/>
            </w:tcBorders>
            <w:shd w:val="clear" w:color="auto" w:fill="auto"/>
          </w:tcPr>
          <w:p w14:paraId="26979660" w14:textId="77777777" w:rsidR="00BB6A21" w:rsidRPr="000D318A" w:rsidRDefault="00BB6A21" w:rsidP="002B5448">
            <w:pPr>
              <w:spacing w:after="120"/>
              <w:rPr>
                <w:sz w:val="18"/>
                <w:szCs w:val="18"/>
              </w:rPr>
            </w:pPr>
            <w:r w:rsidRPr="000D318A">
              <w:rPr>
                <w:sz w:val="18"/>
                <w:szCs w:val="18"/>
              </w:rPr>
              <w:t>Based on the sensitivity required for the risk assessment, and analytical capability, are single samples or composites appropriate and possible ?</w:t>
            </w:r>
          </w:p>
        </w:tc>
        <w:tc>
          <w:tcPr>
            <w:tcW w:w="5052" w:type="dxa"/>
            <w:tcBorders>
              <w:bottom w:val="single" w:sz="4" w:space="0" w:color="000000" w:themeColor="text1"/>
            </w:tcBorders>
            <w:shd w:val="clear" w:color="auto" w:fill="auto"/>
          </w:tcPr>
          <w:p w14:paraId="2070A523" w14:textId="77777777" w:rsidR="00BB6A21" w:rsidRPr="000D318A" w:rsidRDefault="00BB6A21" w:rsidP="002B5448">
            <w:pPr>
              <w:spacing w:after="120"/>
              <w:rPr>
                <w:sz w:val="18"/>
                <w:szCs w:val="18"/>
                <w:highlight w:val="yellow"/>
              </w:rPr>
            </w:pPr>
          </w:p>
        </w:tc>
      </w:tr>
      <w:tr w:rsidR="00BB6A21" w:rsidRPr="000D318A" w14:paraId="4D3A9EC7" w14:textId="77777777" w:rsidTr="002B5448">
        <w:tc>
          <w:tcPr>
            <w:tcW w:w="9016" w:type="dxa"/>
            <w:gridSpan w:val="2"/>
            <w:shd w:val="clear" w:color="auto" w:fill="DEEAF6"/>
          </w:tcPr>
          <w:p w14:paraId="5A82210C" w14:textId="77777777" w:rsidR="00BB6A21" w:rsidRPr="000D318A" w:rsidRDefault="00BB6A21" w:rsidP="002B5448">
            <w:pPr>
              <w:rPr>
                <w:sz w:val="18"/>
                <w:szCs w:val="18"/>
                <w:highlight w:val="yellow"/>
              </w:rPr>
            </w:pPr>
            <w:r w:rsidRPr="000D318A">
              <w:rPr>
                <w:color w:val="000000" w:themeColor="text1"/>
                <w:sz w:val="18"/>
                <w:szCs w:val="18"/>
              </w:rPr>
              <w:t>Section 3: Planning</w:t>
            </w:r>
          </w:p>
        </w:tc>
      </w:tr>
      <w:tr w:rsidR="00BB6A21" w:rsidRPr="000D318A" w14:paraId="1B2DEF5F" w14:textId="77777777" w:rsidTr="002B5448">
        <w:tc>
          <w:tcPr>
            <w:tcW w:w="9016" w:type="dxa"/>
            <w:gridSpan w:val="2"/>
            <w:shd w:val="clear" w:color="auto" w:fill="DEEAF6"/>
          </w:tcPr>
          <w:p w14:paraId="5CEA14D4" w14:textId="77777777" w:rsidR="00BB6A21" w:rsidRPr="000D318A" w:rsidRDefault="00BB6A21" w:rsidP="002B5448">
            <w:pPr>
              <w:rPr>
                <w:sz w:val="18"/>
                <w:szCs w:val="18"/>
                <w:highlight w:val="yellow"/>
              </w:rPr>
            </w:pPr>
            <w:r w:rsidRPr="000D318A">
              <w:rPr>
                <w:color w:val="000000" w:themeColor="text1"/>
                <w:sz w:val="18"/>
                <w:szCs w:val="18"/>
              </w:rPr>
              <w:t>Sampling Plan</w:t>
            </w:r>
          </w:p>
        </w:tc>
      </w:tr>
      <w:tr w:rsidR="00BB6A21" w:rsidRPr="000D318A" w14:paraId="1C9713BE" w14:textId="77777777" w:rsidTr="002B5448">
        <w:tc>
          <w:tcPr>
            <w:tcW w:w="3964" w:type="dxa"/>
            <w:shd w:val="clear" w:color="auto" w:fill="auto"/>
          </w:tcPr>
          <w:p w14:paraId="4C44C7A2" w14:textId="77777777" w:rsidR="00BB6A21" w:rsidRPr="000D318A" w:rsidRDefault="00BB6A21" w:rsidP="002B5448">
            <w:pPr>
              <w:spacing w:after="120"/>
              <w:rPr>
                <w:sz w:val="18"/>
                <w:szCs w:val="18"/>
              </w:rPr>
            </w:pPr>
            <w:r w:rsidRPr="000D318A">
              <w:rPr>
                <w:sz w:val="18"/>
                <w:szCs w:val="18"/>
              </w:rPr>
              <w:t>Form of sample(s)</w:t>
            </w:r>
          </w:p>
        </w:tc>
        <w:tc>
          <w:tcPr>
            <w:tcW w:w="5052" w:type="dxa"/>
            <w:shd w:val="clear" w:color="auto" w:fill="auto"/>
          </w:tcPr>
          <w:p w14:paraId="05AB6D91" w14:textId="77777777" w:rsidR="00BB6A21" w:rsidRPr="000D318A" w:rsidRDefault="00BB6A21" w:rsidP="002B5448">
            <w:pPr>
              <w:spacing w:after="120"/>
              <w:rPr>
                <w:sz w:val="18"/>
                <w:szCs w:val="18"/>
                <w:highlight w:val="yellow"/>
              </w:rPr>
            </w:pPr>
            <w:r w:rsidRPr="000D318A">
              <w:rPr>
                <w:sz w:val="18"/>
                <w:szCs w:val="18"/>
              </w:rPr>
              <w:t>e.g., liquid ingredient, swabs, finished product</w:t>
            </w:r>
          </w:p>
        </w:tc>
      </w:tr>
      <w:tr w:rsidR="00BB6A21" w:rsidRPr="000D318A" w14:paraId="45F07980" w14:textId="77777777" w:rsidTr="002B5448">
        <w:tc>
          <w:tcPr>
            <w:tcW w:w="3964" w:type="dxa"/>
            <w:shd w:val="clear" w:color="auto" w:fill="auto"/>
          </w:tcPr>
          <w:p w14:paraId="6ADD1F1C" w14:textId="77777777" w:rsidR="00BB6A21" w:rsidRPr="000D318A" w:rsidRDefault="00BB6A21" w:rsidP="002B5448">
            <w:pPr>
              <w:spacing w:after="120"/>
              <w:rPr>
                <w:sz w:val="18"/>
                <w:szCs w:val="18"/>
              </w:rPr>
            </w:pPr>
            <w:r w:rsidRPr="000D318A">
              <w:rPr>
                <w:sz w:val="18"/>
                <w:szCs w:val="18"/>
              </w:rPr>
              <w:t>Location of sampling and sampling method.</w:t>
            </w:r>
          </w:p>
        </w:tc>
        <w:tc>
          <w:tcPr>
            <w:tcW w:w="5052" w:type="dxa"/>
            <w:shd w:val="clear" w:color="auto" w:fill="auto"/>
          </w:tcPr>
          <w:p w14:paraId="3FFF7320" w14:textId="77777777" w:rsidR="00BB6A21" w:rsidRPr="000D318A" w:rsidRDefault="00BB6A21" w:rsidP="002B5448">
            <w:pPr>
              <w:spacing w:after="120"/>
              <w:rPr>
                <w:sz w:val="18"/>
                <w:szCs w:val="18"/>
                <w:highlight w:val="yellow"/>
              </w:rPr>
            </w:pPr>
          </w:p>
        </w:tc>
      </w:tr>
      <w:tr w:rsidR="00BB6A21" w:rsidRPr="000D318A" w14:paraId="408FD535" w14:textId="77777777" w:rsidTr="002B5448">
        <w:tc>
          <w:tcPr>
            <w:tcW w:w="3964" w:type="dxa"/>
            <w:shd w:val="clear" w:color="auto" w:fill="auto"/>
          </w:tcPr>
          <w:p w14:paraId="35720C67" w14:textId="77777777" w:rsidR="00BB6A21" w:rsidRPr="000D318A" w:rsidRDefault="00BB6A21" w:rsidP="002B5448">
            <w:pPr>
              <w:spacing w:after="120"/>
              <w:rPr>
                <w:sz w:val="18"/>
                <w:szCs w:val="18"/>
              </w:rPr>
            </w:pPr>
            <w:r w:rsidRPr="000D318A">
              <w:rPr>
                <w:sz w:val="18"/>
                <w:szCs w:val="18"/>
              </w:rPr>
              <w:t>Number of samples possible and required.</w:t>
            </w:r>
          </w:p>
        </w:tc>
        <w:tc>
          <w:tcPr>
            <w:tcW w:w="5052" w:type="dxa"/>
            <w:shd w:val="clear" w:color="auto" w:fill="auto"/>
          </w:tcPr>
          <w:p w14:paraId="73528A48" w14:textId="6C45ECF8" w:rsidR="00BB6A21" w:rsidRPr="000D318A" w:rsidRDefault="00BB6A21" w:rsidP="002B5448">
            <w:pPr>
              <w:spacing w:after="120"/>
              <w:rPr>
                <w:sz w:val="18"/>
                <w:szCs w:val="18"/>
                <w:highlight w:val="yellow"/>
              </w:rPr>
            </w:pPr>
            <w:r w:rsidRPr="000D318A">
              <w:rPr>
                <w:sz w:val="18"/>
                <w:szCs w:val="18"/>
              </w:rPr>
              <w:t xml:space="preserve">See guidance on </w:t>
            </w:r>
            <w:r w:rsidRPr="000D318A">
              <w:rPr>
                <w:b/>
                <w:bCs/>
                <w:sz w:val="18"/>
                <w:szCs w:val="18"/>
              </w:rPr>
              <w:fldChar w:fldCharType="begin"/>
            </w:r>
            <w:r w:rsidRPr="000D318A">
              <w:rPr>
                <w:b/>
                <w:bCs/>
                <w:sz w:val="18"/>
                <w:szCs w:val="18"/>
              </w:rPr>
              <w:instrText xml:space="preserve"> REF _Ref86765750 \r \h  \* MERGEFORMAT </w:instrText>
            </w:r>
            <w:r w:rsidRPr="000D318A">
              <w:rPr>
                <w:b/>
                <w:bCs/>
                <w:sz w:val="18"/>
                <w:szCs w:val="18"/>
              </w:rPr>
              <w:fldChar w:fldCharType="separate"/>
            </w:r>
            <w:r w:rsidR="002C316C">
              <w:rPr>
                <w:sz w:val="18"/>
                <w:szCs w:val="18"/>
              </w:rPr>
              <w:t>Error! Reference source not found.</w:t>
            </w:r>
            <w:r w:rsidRPr="000D318A">
              <w:rPr>
                <w:b/>
                <w:bCs/>
                <w:sz w:val="18"/>
                <w:szCs w:val="18"/>
              </w:rPr>
              <w:fldChar w:fldCharType="end"/>
            </w:r>
          </w:p>
        </w:tc>
      </w:tr>
      <w:tr w:rsidR="00BB6A21" w:rsidRPr="000D318A" w14:paraId="0AE8BE87" w14:textId="77777777" w:rsidTr="002B5448">
        <w:tc>
          <w:tcPr>
            <w:tcW w:w="3964" w:type="dxa"/>
            <w:shd w:val="clear" w:color="auto" w:fill="auto"/>
          </w:tcPr>
          <w:p w14:paraId="68F31F34" w14:textId="77777777" w:rsidR="00BB6A21" w:rsidRPr="000D318A" w:rsidRDefault="00BB6A21" w:rsidP="002B5448">
            <w:pPr>
              <w:spacing w:after="120"/>
              <w:rPr>
                <w:sz w:val="18"/>
                <w:szCs w:val="18"/>
              </w:rPr>
            </w:pPr>
            <w:r w:rsidRPr="000D318A">
              <w:rPr>
                <w:sz w:val="18"/>
                <w:szCs w:val="18"/>
              </w:rPr>
              <w:t>Size of samples, packaging, labelling, storage and transport.</w:t>
            </w:r>
          </w:p>
        </w:tc>
        <w:tc>
          <w:tcPr>
            <w:tcW w:w="5052" w:type="dxa"/>
            <w:shd w:val="clear" w:color="auto" w:fill="auto"/>
          </w:tcPr>
          <w:p w14:paraId="5200FCA2" w14:textId="77777777" w:rsidR="00BB6A21" w:rsidRPr="000D318A" w:rsidRDefault="00BB6A21" w:rsidP="002B5448">
            <w:pPr>
              <w:spacing w:after="120"/>
              <w:rPr>
                <w:sz w:val="18"/>
                <w:szCs w:val="18"/>
                <w:highlight w:val="yellow"/>
              </w:rPr>
            </w:pPr>
          </w:p>
        </w:tc>
      </w:tr>
      <w:tr w:rsidR="00BB6A21" w:rsidRPr="000D318A" w14:paraId="008842D4" w14:textId="77777777" w:rsidTr="002B5448">
        <w:tc>
          <w:tcPr>
            <w:tcW w:w="9016" w:type="dxa"/>
            <w:gridSpan w:val="2"/>
            <w:shd w:val="clear" w:color="auto" w:fill="DEEAF6"/>
          </w:tcPr>
          <w:p w14:paraId="1DE1F532" w14:textId="77777777" w:rsidR="00BB6A21" w:rsidRPr="000D318A" w:rsidRDefault="00BB6A21" w:rsidP="002B5448">
            <w:pPr>
              <w:spacing w:after="120"/>
              <w:rPr>
                <w:sz w:val="18"/>
                <w:szCs w:val="18"/>
                <w:highlight w:val="yellow"/>
              </w:rPr>
            </w:pPr>
            <w:r w:rsidRPr="000D318A">
              <w:rPr>
                <w:sz w:val="18"/>
                <w:szCs w:val="18"/>
              </w:rPr>
              <w:t>Analytical Plan</w:t>
            </w:r>
          </w:p>
        </w:tc>
      </w:tr>
      <w:tr w:rsidR="00BB6A21" w:rsidRPr="000D318A" w14:paraId="75F61018" w14:textId="77777777" w:rsidTr="002B5448">
        <w:tc>
          <w:tcPr>
            <w:tcW w:w="3964" w:type="dxa"/>
            <w:shd w:val="clear" w:color="auto" w:fill="auto"/>
          </w:tcPr>
          <w:p w14:paraId="06787352" w14:textId="77777777" w:rsidR="00BB6A21" w:rsidRPr="000D318A" w:rsidRDefault="00BB6A21" w:rsidP="002B5448">
            <w:pPr>
              <w:spacing w:after="120"/>
              <w:rPr>
                <w:sz w:val="18"/>
                <w:szCs w:val="18"/>
              </w:rPr>
            </w:pPr>
            <w:r w:rsidRPr="000D318A">
              <w:rPr>
                <w:sz w:val="18"/>
                <w:szCs w:val="18"/>
              </w:rPr>
              <w:t>Sample preparation and method including sample weight tested, number of desired repeats/replicates.</w:t>
            </w:r>
          </w:p>
        </w:tc>
        <w:tc>
          <w:tcPr>
            <w:tcW w:w="5052" w:type="dxa"/>
            <w:shd w:val="clear" w:color="auto" w:fill="auto"/>
          </w:tcPr>
          <w:p w14:paraId="55ECBC06" w14:textId="77777777" w:rsidR="00BB6A21" w:rsidRPr="000D318A" w:rsidRDefault="00BB6A21" w:rsidP="002B5448">
            <w:pPr>
              <w:spacing w:after="120"/>
              <w:rPr>
                <w:sz w:val="18"/>
                <w:szCs w:val="18"/>
                <w:highlight w:val="yellow"/>
              </w:rPr>
            </w:pPr>
          </w:p>
        </w:tc>
      </w:tr>
      <w:tr w:rsidR="00BB6A21" w:rsidRPr="000D318A" w14:paraId="2F818EC6" w14:textId="77777777" w:rsidTr="002B5448">
        <w:tc>
          <w:tcPr>
            <w:tcW w:w="3964" w:type="dxa"/>
            <w:shd w:val="clear" w:color="auto" w:fill="auto"/>
          </w:tcPr>
          <w:p w14:paraId="7BD46878" w14:textId="77777777" w:rsidR="00BB6A21" w:rsidRPr="000D318A" w:rsidRDefault="00BB6A21" w:rsidP="002B5448">
            <w:pPr>
              <w:spacing w:after="120"/>
              <w:rPr>
                <w:sz w:val="18"/>
                <w:szCs w:val="18"/>
              </w:rPr>
            </w:pPr>
            <w:r w:rsidRPr="000D318A">
              <w:rPr>
                <w:sz w:val="18"/>
                <w:szCs w:val="18"/>
              </w:rPr>
              <w:t>Sample retention and storage.</w:t>
            </w:r>
          </w:p>
        </w:tc>
        <w:tc>
          <w:tcPr>
            <w:tcW w:w="5052" w:type="dxa"/>
            <w:shd w:val="clear" w:color="auto" w:fill="auto"/>
          </w:tcPr>
          <w:p w14:paraId="1EB8B842" w14:textId="77777777" w:rsidR="00BB6A21" w:rsidRPr="000D318A" w:rsidRDefault="00BB6A21" w:rsidP="002B5448">
            <w:pPr>
              <w:spacing w:after="120"/>
              <w:rPr>
                <w:sz w:val="18"/>
                <w:szCs w:val="18"/>
                <w:highlight w:val="yellow"/>
              </w:rPr>
            </w:pPr>
          </w:p>
        </w:tc>
      </w:tr>
      <w:tr w:rsidR="00BB6A21" w:rsidRPr="000D318A" w14:paraId="11FDFDA0" w14:textId="77777777" w:rsidTr="002B5448">
        <w:tc>
          <w:tcPr>
            <w:tcW w:w="9016" w:type="dxa"/>
            <w:gridSpan w:val="2"/>
            <w:shd w:val="clear" w:color="auto" w:fill="DEEAF6"/>
          </w:tcPr>
          <w:p w14:paraId="184F10C2" w14:textId="77777777" w:rsidR="00BB6A21" w:rsidRPr="000D318A" w:rsidRDefault="00BB6A21" w:rsidP="002B5448">
            <w:pPr>
              <w:spacing w:after="0"/>
              <w:rPr>
                <w:sz w:val="18"/>
                <w:szCs w:val="18"/>
              </w:rPr>
            </w:pPr>
            <w:r w:rsidRPr="000D318A">
              <w:rPr>
                <w:sz w:val="18"/>
                <w:szCs w:val="18"/>
              </w:rPr>
              <w:t>Sampling &amp; Analysis: Quality of Evidence</w:t>
            </w:r>
          </w:p>
          <w:p w14:paraId="2C429940" w14:textId="77777777" w:rsidR="00BB6A21" w:rsidRPr="000D318A" w:rsidRDefault="00BB6A21" w:rsidP="002B5448">
            <w:pPr>
              <w:spacing w:after="0"/>
              <w:rPr>
                <w:sz w:val="18"/>
                <w:szCs w:val="18"/>
                <w:highlight w:val="yellow"/>
              </w:rPr>
            </w:pPr>
            <w:r w:rsidRPr="000D318A">
              <w:rPr>
                <w:sz w:val="18"/>
                <w:szCs w:val="18"/>
              </w:rPr>
              <w:t xml:space="preserve">(To a large extent this is a subjective </w:t>
            </w:r>
            <w:r w:rsidRPr="000D318A">
              <w:rPr>
                <w:sz w:val="18"/>
                <w:szCs w:val="18"/>
                <w:shd w:val="clear" w:color="auto" w:fill="DEEAF6"/>
              </w:rPr>
              <w:t>judgement based on the adequacy of sampling, the numbers of samples, and the analytical data, but always act in a precautionary manner (e.g. with a spread of results such as &lt;LoQ, &lt;LoQ, 2.1, 7.9  25.8 mg/kg as allergen protein, proceed on the basis of the highest).</w:t>
            </w:r>
          </w:p>
        </w:tc>
      </w:tr>
      <w:tr w:rsidR="00BB6A21" w:rsidRPr="000D318A" w14:paraId="177EF3DF" w14:textId="77777777" w:rsidTr="002B5448">
        <w:tc>
          <w:tcPr>
            <w:tcW w:w="3964" w:type="dxa"/>
            <w:shd w:val="clear" w:color="auto" w:fill="auto"/>
          </w:tcPr>
          <w:p w14:paraId="57F7A0A4" w14:textId="77777777" w:rsidR="00BB6A21" w:rsidRPr="000D318A" w:rsidRDefault="00BB6A21" w:rsidP="002B5448">
            <w:pPr>
              <w:spacing w:after="120"/>
              <w:rPr>
                <w:sz w:val="18"/>
                <w:szCs w:val="18"/>
              </w:rPr>
            </w:pPr>
            <w:r w:rsidRPr="000D318A">
              <w:rPr>
                <w:color w:val="FFFFFF" w:themeColor="background1"/>
                <w:sz w:val="18"/>
                <w:szCs w:val="18"/>
                <w:shd w:val="clear" w:color="auto" w:fill="FF0000"/>
              </w:rPr>
              <w:t>B</w:t>
            </w:r>
            <w:r w:rsidRPr="000D318A">
              <w:rPr>
                <w:sz w:val="18"/>
                <w:szCs w:val="18"/>
              </w:rPr>
              <w:t xml:space="preserve"> - Likelihood of sampling an UAP that is present.</w:t>
            </w:r>
          </w:p>
        </w:tc>
        <w:tc>
          <w:tcPr>
            <w:tcW w:w="5052" w:type="dxa"/>
            <w:shd w:val="clear" w:color="auto" w:fill="auto"/>
          </w:tcPr>
          <w:p w14:paraId="51DA9249" w14:textId="77777777" w:rsidR="00BB6A21" w:rsidRPr="000D318A" w:rsidRDefault="00BB6A21" w:rsidP="002B5448">
            <w:pPr>
              <w:spacing w:after="120"/>
              <w:rPr>
                <w:sz w:val="18"/>
                <w:szCs w:val="18"/>
              </w:rPr>
            </w:pPr>
            <w:r w:rsidRPr="000D318A">
              <w:rPr>
                <w:sz w:val="18"/>
                <w:szCs w:val="18"/>
              </w:rPr>
              <w:t xml:space="preserve">3 </w:t>
            </w:r>
            <w:sdt>
              <w:sdtPr>
                <w:rPr>
                  <w:sz w:val="18"/>
                  <w:szCs w:val="18"/>
                </w:rPr>
                <w:id w:val="720714861"/>
                <w14:checkbox>
                  <w14:checked w14:val="0"/>
                  <w14:checkedState w14:val="2612" w14:font="MS Gothic"/>
                  <w14:uncheckedState w14:val="2610" w14:font="MS Gothic"/>
                </w14:checkbox>
              </w:sdtPr>
              <w:sdtEndPr/>
              <w:sdtContent>
                <w:r w:rsidRPr="000D318A">
                  <w:rPr>
                    <w:rFonts w:ascii="Segoe UI Symbol" w:eastAsia="MS Gothic" w:hAnsi="Segoe UI Symbol" w:cs="Segoe UI Symbol"/>
                    <w:sz w:val="18"/>
                    <w:szCs w:val="18"/>
                  </w:rPr>
                  <w:t>☐</w:t>
                </w:r>
              </w:sdtContent>
            </w:sdt>
            <w:r w:rsidRPr="000D318A">
              <w:rPr>
                <w:sz w:val="18"/>
                <w:szCs w:val="18"/>
              </w:rPr>
              <w:t xml:space="preserve">  High </w:t>
            </w:r>
          </w:p>
          <w:p w14:paraId="492AEB23" w14:textId="77777777" w:rsidR="00BB6A21" w:rsidRPr="000D318A" w:rsidRDefault="00BB6A21" w:rsidP="002B5448">
            <w:pPr>
              <w:spacing w:after="120"/>
              <w:rPr>
                <w:sz w:val="18"/>
                <w:szCs w:val="18"/>
              </w:rPr>
            </w:pPr>
            <w:r w:rsidRPr="000D318A">
              <w:rPr>
                <w:sz w:val="18"/>
                <w:szCs w:val="18"/>
              </w:rPr>
              <w:t xml:space="preserve">2 </w:t>
            </w:r>
            <w:sdt>
              <w:sdtPr>
                <w:rPr>
                  <w:sz w:val="18"/>
                  <w:szCs w:val="18"/>
                </w:rPr>
                <w:id w:val="1859841026"/>
                <w14:checkbox>
                  <w14:checked w14:val="0"/>
                  <w14:checkedState w14:val="2612" w14:font="MS Gothic"/>
                  <w14:uncheckedState w14:val="2610" w14:font="MS Gothic"/>
                </w14:checkbox>
              </w:sdtPr>
              <w:sdtEndPr/>
              <w:sdtContent>
                <w:r w:rsidRPr="000D318A">
                  <w:rPr>
                    <w:rFonts w:ascii="Segoe UI Symbol" w:eastAsia="MS Gothic" w:hAnsi="Segoe UI Symbol" w:cs="Segoe UI Symbol"/>
                    <w:sz w:val="18"/>
                    <w:szCs w:val="18"/>
                  </w:rPr>
                  <w:t>☐</w:t>
                </w:r>
              </w:sdtContent>
            </w:sdt>
            <w:r w:rsidRPr="000D318A">
              <w:rPr>
                <w:sz w:val="18"/>
                <w:szCs w:val="18"/>
              </w:rPr>
              <w:t xml:space="preserve">  Medium</w:t>
            </w:r>
          </w:p>
          <w:p w14:paraId="0E8B77C8" w14:textId="77777777" w:rsidR="00BB6A21" w:rsidRPr="000D318A" w:rsidRDefault="00BB6A21" w:rsidP="002B5448">
            <w:pPr>
              <w:spacing w:after="120"/>
              <w:rPr>
                <w:b/>
                <w:bCs/>
                <w:sz w:val="18"/>
                <w:szCs w:val="18"/>
                <w:highlight w:val="yellow"/>
              </w:rPr>
            </w:pPr>
            <w:r w:rsidRPr="000D318A">
              <w:rPr>
                <w:sz w:val="18"/>
                <w:szCs w:val="18"/>
              </w:rPr>
              <w:t xml:space="preserve">1 </w:t>
            </w:r>
            <w:sdt>
              <w:sdtPr>
                <w:rPr>
                  <w:sz w:val="18"/>
                  <w:szCs w:val="18"/>
                </w:rPr>
                <w:id w:val="2064211114"/>
                <w14:checkbox>
                  <w14:checked w14:val="0"/>
                  <w14:checkedState w14:val="2612" w14:font="MS Gothic"/>
                  <w14:uncheckedState w14:val="2610" w14:font="MS Gothic"/>
                </w14:checkbox>
              </w:sdtPr>
              <w:sdtEndPr/>
              <w:sdtContent>
                <w:r w:rsidRPr="000D318A">
                  <w:rPr>
                    <w:rFonts w:ascii="Segoe UI Symbol" w:hAnsi="Segoe UI Symbol" w:cs="Segoe UI Symbol"/>
                    <w:sz w:val="18"/>
                    <w:szCs w:val="18"/>
                  </w:rPr>
                  <w:t>☐</w:t>
                </w:r>
              </w:sdtContent>
            </w:sdt>
            <w:r w:rsidRPr="000D318A">
              <w:rPr>
                <w:sz w:val="18"/>
                <w:szCs w:val="18"/>
              </w:rPr>
              <w:t xml:space="preserve">  Low or unknown</w:t>
            </w:r>
          </w:p>
        </w:tc>
      </w:tr>
      <w:tr w:rsidR="00BB6A21" w:rsidRPr="000D318A" w14:paraId="39ED91CF" w14:textId="77777777" w:rsidTr="002B5448">
        <w:tc>
          <w:tcPr>
            <w:tcW w:w="3964" w:type="dxa"/>
            <w:shd w:val="clear" w:color="auto" w:fill="auto"/>
          </w:tcPr>
          <w:p w14:paraId="7C5E7F09" w14:textId="77777777" w:rsidR="00BB6A21" w:rsidRPr="000D318A" w:rsidRDefault="00BB6A21" w:rsidP="002B5448">
            <w:pPr>
              <w:spacing w:after="120"/>
              <w:rPr>
                <w:sz w:val="18"/>
                <w:szCs w:val="18"/>
              </w:rPr>
            </w:pPr>
            <w:r w:rsidRPr="000D318A">
              <w:rPr>
                <w:sz w:val="18"/>
                <w:szCs w:val="18"/>
              </w:rPr>
              <w:t>Method sensitivity and uncertainty.</w:t>
            </w:r>
          </w:p>
        </w:tc>
        <w:tc>
          <w:tcPr>
            <w:tcW w:w="5052" w:type="dxa"/>
            <w:shd w:val="clear" w:color="auto" w:fill="auto"/>
          </w:tcPr>
          <w:p w14:paraId="503C71FB" w14:textId="77777777" w:rsidR="00BB6A21" w:rsidRPr="000D318A" w:rsidRDefault="00BB6A21" w:rsidP="002B5448">
            <w:pPr>
              <w:spacing w:after="120"/>
              <w:rPr>
                <w:sz w:val="18"/>
                <w:szCs w:val="18"/>
                <w:highlight w:val="yellow"/>
              </w:rPr>
            </w:pPr>
          </w:p>
        </w:tc>
      </w:tr>
      <w:tr w:rsidR="00BB6A21" w:rsidRPr="000D318A" w14:paraId="0CDFBF78" w14:textId="77777777" w:rsidTr="002B5448">
        <w:tc>
          <w:tcPr>
            <w:tcW w:w="9016" w:type="dxa"/>
            <w:gridSpan w:val="2"/>
            <w:shd w:val="clear" w:color="auto" w:fill="FFFF00"/>
          </w:tcPr>
          <w:p w14:paraId="69FF940E" w14:textId="77777777" w:rsidR="00BB6A21" w:rsidRPr="000D318A" w:rsidRDefault="00BB6A21" w:rsidP="002B5448">
            <w:pPr>
              <w:rPr>
                <w:sz w:val="18"/>
                <w:szCs w:val="18"/>
              </w:rPr>
            </w:pPr>
            <w:r w:rsidRPr="000D318A">
              <w:rPr>
                <w:sz w:val="18"/>
                <w:szCs w:val="18"/>
              </w:rPr>
              <w:t>Section 4: Results</w:t>
            </w:r>
          </w:p>
        </w:tc>
      </w:tr>
      <w:tr w:rsidR="00BB6A21" w:rsidRPr="000D318A" w14:paraId="36C7AD6C" w14:textId="77777777" w:rsidTr="002B5448">
        <w:tc>
          <w:tcPr>
            <w:tcW w:w="3964" w:type="dxa"/>
            <w:tcBorders>
              <w:bottom w:val="single" w:sz="4" w:space="0" w:color="000000" w:themeColor="text1"/>
            </w:tcBorders>
            <w:shd w:val="clear" w:color="auto" w:fill="auto"/>
          </w:tcPr>
          <w:p w14:paraId="7EC12506" w14:textId="77777777" w:rsidR="00BB6A21" w:rsidRPr="000D318A" w:rsidRDefault="00BB6A21" w:rsidP="002B5448">
            <w:pPr>
              <w:spacing w:after="120"/>
              <w:rPr>
                <w:sz w:val="18"/>
                <w:szCs w:val="18"/>
              </w:rPr>
            </w:pPr>
            <w:r w:rsidRPr="000D318A">
              <w:rPr>
                <w:sz w:val="18"/>
                <w:szCs w:val="18"/>
              </w:rPr>
              <w:t>Data (± uncertainty)</w:t>
            </w:r>
          </w:p>
        </w:tc>
        <w:tc>
          <w:tcPr>
            <w:tcW w:w="5052" w:type="dxa"/>
            <w:tcBorders>
              <w:bottom w:val="single" w:sz="4" w:space="0" w:color="000000" w:themeColor="text1"/>
            </w:tcBorders>
            <w:shd w:val="clear" w:color="auto" w:fill="auto"/>
          </w:tcPr>
          <w:p w14:paraId="52B64D7E" w14:textId="77777777" w:rsidR="00BB6A21" w:rsidRPr="000D318A" w:rsidRDefault="00BB6A21" w:rsidP="002B5448">
            <w:pPr>
              <w:spacing w:after="120"/>
              <w:rPr>
                <w:sz w:val="18"/>
                <w:szCs w:val="18"/>
                <w:highlight w:val="yellow"/>
              </w:rPr>
            </w:pPr>
          </w:p>
        </w:tc>
      </w:tr>
      <w:tr w:rsidR="00BB6A21" w:rsidRPr="000D318A" w14:paraId="50D92A73" w14:textId="77777777" w:rsidTr="002B5448">
        <w:tc>
          <w:tcPr>
            <w:tcW w:w="9016" w:type="dxa"/>
            <w:gridSpan w:val="2"/>
            <w:shd w:val="clear" w:color="auto" w:fill="DEEAF6"/>
          </w:tcPr>
          <w:p w14:paraId="2554C920" w14:textId="77777777" w:rsidR="00BB6A21" w:rsidRPr="000D318A" w:rsidRDefault="00BB6A21" w:rsidP="002B5448">
            <w:pPr>
              <w:spacing w:after="0"/>
              <w:rPr>
                <w:sz w:val="18"/>
                <w:szCs w:val="18"/>
              </w:rPr>
            </w:pPr>
            <w:r w:rsidRPr="000D318A">
              <w:rPr>
                <w:sz w:val="18"/>
                <w:szCs w:val="18"/>
              </w:rPr>
              <w:t>Overall score</w:t>
            </w:r>
          </w:p>
          <w:p w14:paraId="40B48FA4" w14:textId="77777777" w:rsidR="00BB6A21" w:rsidRPr="000D318A" w:rsidRDefault="00BB6A21" w:rsidP="002B5448">
            <w:pPr>
              <w:spacing w:after="0"/>
              <w:rPr>
                <w:sz w:val="18"/>
                <w:szCs w:val="18"/>
              </w:rPr>
            </w:pPr>
            <w:r w:rsidRPr="000D318A">
              <w:rPr>
                <w:sz w:val="18"/>
                <w:szCs w:val="18"/>
              </w:rPr>
              <w:t>You may want to use this simple scoring system as an aid to decision making however be aware that this is not a rigid approach and individual circumstances must over-ride this.</w:t>
            </w:r>
          </w:p>
          <w:p w14:paraId="69F75733" w14:textId="77777777" w:rsidR="00BB6A21" w:rsidRPr="000D318A" w:rsidRDefault="00BB6A21" w:rsidP="002B5448">
            <w:pPr>
              <w:spacing w:after="0"/>
              <w:rPr>
                <w:sz w:val="18"/>
                <w:szCs w:val="18"/>
                <w:highlight w:val="yellow"/>
              </w:rPr>
            </w:pPr>
          </w:p>
        </w:tc>
      </w:tr>
      <w:tr w:rsidR="00BB6A21" w:rsidRPr="000D318A" w14:paraId="29F405A5" w14:textId="77777777" w:rsidTr="002B5448">
        <w:tc>
          <w:tcPr>
            <w:tcW w:w="3964" w:type="dxa"/>
            <w:shd w:val="clear" w:color="auto" w:fill="auto"/>
          </w:tcPr>
          <w:p w14:paraId="363E5F56" w14:textId="77777777" w:rsidR="00BB6A21" w:rsidRPr="000D318A" w:rsidRDefault="00BB6A21" w:rsidP="002B5448">
            <w:pPr>
              <w:spacing w:after="120"/>
              <w:rPr>
                <w:sz w:val="18"/>
                <w:szCs w:val="18"/>
              </w:rPr>
            </w:pPr>
            <w:r w:rsidRPr="000D318A">
              <w:rPr>
                <w:sz w:val="18"/>
                <w:szCs w:val="18"/>
              </w:rPr>
              <w:t xml:space="preserve">Overall sampling quality </w:t>
            </w:r>
          </w:p>
          <w:p w14:paraId="11DC2CC1" w14:textId="77777777" w:rsidR="00BB6A21" w:rsidRPr="000D318A" w:rsidRDefault="00BB6A21" w:rsidP="002B5448">
            <w:pPr>
              <w:spacing w:after="120"/>
              <w:rPr>
                <w:sz w:val="18"/>
                <w:szCs w:val="18"/>
              </w:rPr>
            </w:pPr>
            <w:r w:rsidRPr="000D318A">
              <w:rPr>
                <w:sz w:val="18"/>
                <w:szCs w:val="18"/>
              </w:rPr>
              <w:t xml:space="preserve">(sum of </w:t>
            </w:r>
            <w:r w:rsidRPr="000D318A">
              <w:rPr>
                <w:color w:val="000000" w:themeColor="text1"/>
                <w:sz w:val="18"/>
                <w:szCs w:val="18"/>
                <w:shd w:val="clear" w:color="auto" w:fill="FF0000"/>
              </w:rPr>
              <w:t>A</w:t>
            </w:r>
            <w:r w:rsidRPr="000D318A">
              <w:rPr>
                <w:sz w:val="18"/>
                <w:szCs w:val="18"/>
              </w:rPr>
              <w:t xml:space="preserve"> + </w:t>
            </w:r>
            <w:r w:rsidRPr="000D318A">
              <w:rPr>
                <w:color w:val="000000" w:themeColor="text1"/>
                <w:sz w:val="18"/>
                <w:szCs w:val="18"/>
                <w:shd w:val="clear" w:color="auto" w:fill="FF0000"/>
              </w:rPr>
              <w:t>B</w:t>
            </w:r>
            <w:r w:rsidRPr="000D318A">
              <w:rPr>
                <w:color w:val="000000" w:themeColor="text1"/>
                <w:sz w:val="18"/>
                <w:szCs w:val="18"/>
              </w:rPr>
              <w:t>)</w:t>
            </w:r>
          </w:p>
        </w:tc>
        <w:tc>
          <w:tcPr>
            <w:tcW w:w="5052" w:type="dxa"/>
            <w:shd w:val="clear" w:color="auto" w:fill="auto"/>
          </w:tcPr>
          <w:p w14:paraId="46AD98AB" w14:textId="77777777" w:rsidR="00BB6A21" w:rsidRPr="000D318A" w:rsidRDefault="00BB6A21" w:rsidP="002B5448">
            <w:pPr>
              <w:spacing w:after="120"/>
              <w:rPr>
                <w:sz w:val="18"/>
                <w:szCs w:val="18"/>
              </w:rPr>
            </w:pPr>
            <w:r w:rsidRPr="000D318A">
              <w:rPr>
                <w:sz w:val="18"/>
                <w:szCs w:val="18"/>
              </w:rPr>
              <w:t xml:space="preserve">5-6   </w:t>
            </w:r>
            <w:sdt>
              <w:sdtPr>
                <w:rPr>
                  <w:sz w:val="18"/>
                  <w:szCs w:val="18"/>
                </w:rPr>
                <w:id w:val="1012494885"/>
                <w14:checkbox>
                  <w14:checked w14:val="0"/>
                  <w14:checkedState w14:val="2612" w14:font="MS Gothic"/>
                  <w14:uncheckedState w14:val="2610" w14:font="MS Gothic"/>
                </w14:checkbox>
              </w:sdtPr>
              <w:sdtEndPr/>
              <w:sdtContent>
                <w:r w:rsidRPr="000D318A">
                  <w:rPr>
                    <w:rFonts w:ascii="Segoe UI Symbol" w:eastAsia="MS Gothic" w:hAnsi="Segoe UI Symbol" w:cs="Segoe UI Symbol"/>
                    <w:sz w:val="18"/>
                    <w:szCs w:val="18"/>
                  </w:rPr>
                  <w:t>☐</w:t>
                </w:r>
              </w:sdtContent>
            </w:sdt>
            <w:r w:rsidRPr="000D318A">
              <w:rPr>
                <w:sz w:val="18"/>
                <w:szCs w:val="18"/>
              </w:rPr>
              <w:t xml:space="preserve">  Acceptable quality of evidence</w:t>
            </w:r>
          </w:p>
          <w:p w14:paraId="0CC6A693" w14:textId="77777777" w:rsidR="00BB6A21" w:rsidRPr="000D318A" w:rsidRDefault="00BB6A21" w:rsidP="002B5448">
            <w:pPr>
              <w:spacing w:after="120"/>
              <w:rPr>
                <w:sz w:val="18"/>
                <w:szCs w:val="18"/>
              </w:rPr>
            </w:pPr>
            <w:r w:rsidRPr="000D318A">
              <w:rPr>
                <w:sz w:val="18"/>
                <w:szCs w:val="18"/>
              </w:rPr>
              <w:t xml:space="preserve">4      </w:t>
            </w:r>
            <w:sdt>
              <w:sdtPr>
                <w:rPr>
                  <w:sz w:val="18"/>
                  <w:szCs w:val="18"/>
                </w:rPr>
                <w:id w:val="1513027587"/>
                <w14:checkbox>
                  <w14:checked w14:val="0"/>
                  <w14:checkedState w14:val="2612" w14:font="MS Gothic"/>
                  <w14:uncheckedState w14:val="2610" w14:font="MS Gothic"/>
                </w14:checkbox>
              </w:sdtPr>
              <w:sdtEndPr/>
              <w:sdtContent>
                <w:r w:rsidRPr="000D318A">
                  <w:rPr>
                    <w:rFonts w:ascii="Segoe UI Symbol" w:eastAsia="MS Gothic" w:hAnsi="Segoe UI Symbol" w:cs="Segoe UI Symbol"/>
                    <w:sz w:val="18"/>
                    <w:szCs w:val="18"/>
                  </w:rPr>
                  <w:t>☐</w:t>
                </w:r>
              </w:sdtContent>
            </w:sdt>
            <w:r w:rsidRPr="000D318A">
              <w:rPr>
                <w:sz w:val="18"/>
                <w:szCs w:val="18"/>
              </w:rPr>
              <w:t xml:space="preserve">  Medium quality of evidence</w:t>
            </w:r>
          </w:p>
          <w:p w14:paraId="3BF10FB2" w14:textId="77777777" w:rsidR="00BB6A21" w:rsidRPr="000D318A" w:rsidRDefault="00BB6A21" w:rsidP="002B5448">
            <w:pPr>
              <w:spacing w:after="120"/>
              <w:rPr>
                <w:b/>
                <w:bCs/>
                <w:sz w:val="18"/>
                <w:szCs w:val="18"/>
                <w:highlight w:val="yellow"/>
              </w:rPr>
            </w:pPr>
            <w:r w:rsidRPr="000D318A">
              <w:rPr>
                <w:sz w:val="18"/>
                <w:szCs w:val="18"/>
              </w:rPr>
              <w:t xml:space="preserve">2-3   </w:t>
            </w:r>
            <w:sdt>
              <w:sdtPr>
                <w:rPr>
                  <w:sz w:val="18"/>
                  <w:szCs w:val="18"/>
                </w:rPr>
                <w:id w:val="-169496212"/>
                <w14:checkbox>
                  <w14:checked w14:val="0"/>
                  <w14:checkedState w14:val="2612" w14:font="MS Gothic"/>
                  <w14:uncheckedState w14:val="2610" w14:font="MS Gothic"/>
                </w14:checkbox>
              </w:sdtPr>
              <w:sdtEndPr/>
              <w:sdtContent>
                <w:r w:rsidRPr="000D318A">
                  <w:rPr>
                    <w:rFonts w:ascii="Segoe UI Symbol" w:hAnsi="Segoe UI Symbol" w:cs="Segoe UI Symbol"/>
                    <w:sz w:val="18"/>
                    <w:szCs w:val="18"/>
                  </w:rPr>
                  <w:t>☐</w:t>
                </w:r>
              </w:sdtContent>
            </w:sdt>
            <w:r w:rsidRPr="000D318A">
              <w:rPr>
                <w:sz w:val="18"/>
                <w:szCs w:val="18"/>
              </w:rPr>
              <w:t xml:space="preserve">  Low quality of evidence</w:t>
            </w:r>
          </w:p>
        </w:tc>
      </w:tr>
      <w:tr w:rsidR="00BB6A21" w:rsidRPr="000D318A" w14:paraId="0A7BA3F9" w14:textId="77777777" w:rsidTr="002B5448">
        <w:tc>
          <w:tcPr>
            <w:tcW w:w="3964" w:type="dxa"/>
            <w:shd w:val="clear" w:color="auto" w:fill="auto"/>
          </w:tcPr>
          <w:p w14:paraId="11894696" w14:textId="77777777" w:rsidR="00BB6A21" w:rsidRPr="000D318A" w:rsidRDefault="00BB6A21" w:rsidP="002B5448">
            <w:pPr>
              <w:spacing w:after="120"/>
              <w:rPr>
                <w:sz w:val="18"/>
                <w:szCs w:val="18"/>
              </w:rPr>
            </w:pPr>
            <w:r w:rsidRPr="000D318A">
              <w:rPr>
                <w:sz w:val="18"/>
                <w:szCs w:val="18"/>
              </w:rPr>
              <w:t>Number of individual samples taken</w:t>
            </w:r>
          </w:p>
        </w:tc>
        <w:tc>
          <w:tcPr>
            <w:tcW w:w="5052" w:type="dxa"/>
            <w:shd w:val="clear" w:color="auto" w:fill="auto"/>
          </w:tcPr>
          <w:p w14:paraId="5A65B272" w14:textId="77777777" w:rsidR="00BB6A21" w:rsidRPr="000D318A" w:rsidRDefault="00BB6A21" w:rsidP="002B5448">
            <w:pPr>
              <w:spacing w:after="120"/>
              <w:rPr>
                <w:sz w:val="18"/>
                <w:szCs w:val="18"/>
                <w:highlight w:val="yellow"/>
              </w:rPr>
            </w:pPr>
          </w:p>
        </w:tc>
      </w:tr>
      <w:tr w:rsidR="00BB6A21" w:rsidRPr="000D318A" w14:paraId="4E85CEDD" w14:textId="77777777" w:rsidTr="002B5448">
        <w:tc>
          <w:tcPr>
            <w:tcW w:w="3964" w:type="dxa"/>
            <w:shd w:val="clear" w:color="auto" w:fill="auto"/>
          </w:tcPr>
          <w:p w14:paraId="444E31CB" w14:textId="77777777" w:rsidR="00BB6A21" w:rsidRPr="000D318A" w:rsidRDefault="00BB6A21" w:rsidP="002B5448">
            <w:pPr>
              <w:spacing w:after="120"/>
              <w:rPr>
                <w:sz w:val="18"/>
                <w:szCs w:val="18"/>
              </w:rPr>
            </w:pPr>
            <w:r w:rsidRPr="000D318A">
              <w:rPr>
                <w:sz w:val="18"/>
                <w:szCs w:val="18"/>
              </w:rPr>
              <w:t>Laboratory used</w:t>
            </w:r>
          </w:p>
        </w:tc>
        <w:tc>
          <w:tcPr>
            <w:tcW w:w="5052" w:type="dxa"/>
            <w:shd w:val="clear" w:color="auto" w:fill="auto"/>
          </w:tcPr>
          <w:p w14:paraId="06D90447" w14:textId="77777777" w:rsidR="00BB6A21" w:rsidRPr="000D318A" w:rsidRDefault="00BB6A21" w:rsidP="002B5448">
            <w:pPr>
              <w:spacing w:after="120"/>
              <w:rPr>
                <w:sz w:val="18"/>
                <w:szCs w:val="18"/>
                <w:highlight w:val="yellow"/>
              </w:rPr>
            </w:pPr>
          </w:p>
        </w:tc>
      </w:tr>
      <w:tr w:rsidR="00BB6A21" w:rsidRPr="000D318A" w14:paraId="49C625C1" w14:textId="77777777" w:rsidTr="002B5448">
        <w:tc>
          <w:tcPr>
            <w:tcW w:w="3964" w:type="dxa"/>
            <w:shd w:val="clear" w:color="auto" w:fill="auto"/>
          </w:tcPr>
          <w:p w14:paraId="7E5DE187" w14:textId="77777777" w:rsidR="00BB6A21" w:rsidRPr="000D318A" w:rsidRDefault="00BB6A21" w:rsidP="002B5448">
            <w:pPr>
              <w:spacing w:after="120"/>
              <w:rPr>
                <w:sz w:val="18"/>
                <w:szCs w:val="18"/>
              </w:rPr>
            </w:pPr>
            <w:r w:rsidRPr="000D318A">
              <w:rPr>
                <w:sz w:val="18"/>
                <w:szCs w:val="18"/>
              </w:rPr>
              <w:t>Signed/dated</w:t>
            </w:r>
          </w:p>
        </w:tc>
        <w:tc>
          <w:tcPr>
            <w:tcW w:w="5052" w:type="dxa"/>
            <w:shd w:val="clear" w:color="auto" w:fill="auto"/>
          </w:tcPr>
          <w:p w14:paraId="72A1F1CC" w14:textId="77777777" w:rsidR="00BB6A21" w:rsidRPr="000D318A" w:rsidRDefault="00BB6A21" w:rsidP="002B5448">
            <w:pPr>
              <w:spacing w:after="120"/>
              <w:rPr>
                <w:sz w:val="18"/>
                <w:szCs w:val="18"/>
                <w:highlight w:val="yellow"/>
              </w:rPr>
            </w:pPr>
          </w:p>
        </w:tc>
      </w:tr>
    </w:tbl>
    <w:p w14:paraId="51A346B0" w14:textId="77777777" w:rsidR="00BB6A21" w:rsidRPr="008F0599" w:rsidRDefault="00BB6A21" w:rsidP="00BB6A21"/>
    <w:p w14:paraId="028100FB" w14:textId="77777777" w:rsidR="00462CF5" w:rsidRDefault="00462CF5"/>
    <w:sectPr w:rsidR="00462CF5">
      <w:head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6CDC05" w14:textId="77777777" w:rsidR="0084417E" w:rsidRDefault="0084417E" w:rsidP="00124F15">
      <w:pPr>
        <w:spacing w:after="0"/>
      </w:pPr>
      <w:r>
        <w:separator/>
      </w:r>
    </w:p>
  </w:endnote>
  <w:endnote w:type="continuationSeparator" w:id="0">
    <w:p w14:paraId="66681701" w14:textId="77777777" w:rsidR="0084417E" w:rsidRDefault="0084417E" w:rsidP="00124F1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19A4F9" w14:textId="77777777" w:rsidR="0084417E" w:rsidRDefault="0084417E" w:rsidP="00124F15">
      <w:pPr>
        <w:spacing w:after="0"/>
      </w:pPr>
      <w:r>
        <w:separator/>
      </w:r>
    </w:p>
  </w:footnote>
  <w:footnote w:type="continuationSeparator" w:id="0">
    <w:p w14:paraId="3224CB60" w14:textId="77777777" w:rsidR="0084417E" w:rsidRDefault="0084417E" w:rsidP="00124F15">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F0FDB5" w14:textId="0DD5E4D8" w:rsidR="00124F15" w:rsidRPr="00124F15" w:rsidRDefault="00124F15">
    <w:pPr>
      <w:pStyle w:val="Header"/>
      <w:rPr>
        <w:b/>
        <w:bCs/>
        <w:color w:val="FF0000"/>
      </w:rPr>
    </w:pPr>
    <w:r>
      <w:rPr>
        <w:b/>
        <w:bCs/>
        <w:color w:val="FF0000"/>
      </w:rPr>
      <w:t>Disclaimer: Any changes to this form are made at your own risk.</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6A21"/>
    <w:rsid w:val="00124F15"/>
    <w:rsid w:val="001F7DFB"/>
    <w:rsid w:val="00213E9C"/>
    <w:rsid w:val="002C316C"/>
    <w:rsid w:val="0035184D"/>
    <w:rsid w:val="00462CF5"/>
    <w:rsid w:val="0084417E"/>
    <w:rsid w:val="00965D34"/>
    <w:rsid w:val="00B37DF8"/>
    <w:rsid w:val="00BB6A21"/>
    <w:rsid w:val="00C40165"/>
    <w:rsid w:val="00ED7028"/>
    <w:rsid w:val="00EE178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DBAD1"/>
  <w15:chartTrackingRefBased/>
  <w15:docId w15:val="{CEF69A22-6076-4299-B334-D56F3715E7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6A21"/>
    <w:pPr>
      <w:overflowPunct w:val="0"/>
      <w:autoSpaceDE w:val="0"/>
      <w:autoSpaceDN w:val="0"/>
      <w:adjustRightInd w:val="0"/>
      <w:spacing w:after="240" w:line="240" w:lineRule="auto"/>
      <w:jc w:val="both"/>
      <w:textAlignment w:val="baseline"/>
    </w:pPr>
    <w:rPr>
      <w:rFonts w:ascii="Century Gothic" w:eastAsia="Calibri" w:hAnsi="Century Gothic" w:cs="Arial"/>
      <w:sz w:val="20"/>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B6A21"/>
    <w:pPr>
      <w:spacing w:after="0" w:line="240" w:lineRule="auto"/>
    </w:pPr>
    <w:rPr>
      <w:lang w:val="en-IE"/>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BB6A21"/>
    <w:rPr>
      <w:color w:val="0563C1" w:themeColor="hyperlink"/>
      <w:u w:val="single"/>
    </w:rPr>
  </w:style>
  <w:style w:type="paragraph" w:styleId="Header">
    <w:name w:val="header"/>
    <w:basedOn w:val="Normal"/>
    <w:link w:val="HeaderChar"/>
    <w:uiPriority w:val="99"/>
    <w:unhideWhenUsed/>
    <w:rsid w:val="00124F15"/>
    <w:pPr>
      <w:tabs>
        <w:tab w:val="center" w:pos="4513"/>
        <w:tab w:val="right" w:pos="9026"/>
      </w:tabs>
      <w:spacing w:after="0"/>
    </w:pPr>
  </w:style>
  <w:style w:type="character" w:customStyle="1" w:styleId="HeaderChar">
    <w:name w:val="Header Char"/>
    <w:basedOn w:val="DefaultParagraphFont"/>
    <w:link w:val="Header"/>
    <w:uiPriority w:val="99"/>
    <w:rsid w:val="00124F15"/>
    <w:rPr>
      <w:rFonts w:ascii="Century Gothic" w:eastAsia="Calibri" w:hAnsi="Century Gothic" w:cs="Arial"/>
      <w:sz w:val="20"/>
      <w:szCs w:val="20"/>
      <w:lang w:val="en-US"/>
    </w:rPr>
  </w:style>
  <w:style w:type="paragraph" w:styleId="Footer">
    <w:name w:val="footer"/>
    <w:basedOn w:val="Normal"/>
    <w:link w:val="FooterChar"/>
    <w:uiPriority w:val="99"/>
    <w:unhideWhenUsed/>
    <w:rsid w:val="00124F15"/>
    <w:pPr>
      <w:tabs>
        <w:tab w:val="center" w:pos="4513"/>
        <w:tab w:val="right" w:pos="9026"/>
      </w:tabs>
      <w:spacing w:after="0"/>
    </w:pPr>
  </w:style>
  <w:style w:type="character" w:customStyle="1" w:styleId="FooterChar">
    <w:name w:val="Footer Char"/>
    <w:basedOn w:val="DefaultParagraphFont"/>
    <w:link w:val="Footer"/>
    <w:uiPriority w:val="99"/>
    <w:rsid w:val="00124F15"/>
    <w:rPr>
      <w:rFonts w:ascii="Century Gothic" w:eastAsia="Calibri" w:hAnsi="Century Gothic" w:cs="Arial"/>
      <w:sz w:val="20"/>
      <w:szCs w:val="20"/>
      <w:lang w:val="en-US"/>
    </w:rPr>
  </w:style>
  <w:style w:type="character" w:styleId="UnresolvedMention">
    <w:name w:val="Unresolved Mention"/>
    <w:basedOn w:val="DefaultParagraphFont"/>
    <w:uiPriority w:val="99"/>
    <w:semiHidden/>
    <w:unhideWhenUsed/>
    <w:rsid w:val="00213E9C"/>
    <w:rPr>
      <w:color w:val="605E5C"/>
      <w:shd w:val="clear" w:color="auto" w:fill="E1DFDD"/>
    </w:rPr>
  </w:style>
  <w:style w:type="character" w:styleId="FollowedHyperlink">
    <w:name w:val="FollowedHyperlink"/>
    <w:basedOn w:val="DefaultParagraphFont"/>
    <w:uiPriority w:val="99"/>
    <w:semiHidden/>
    <w:unhideWhenUsed/>
    <w:rsid w:val="002C316C"/>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78324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lsi.eu/publication/practical-guidance-on-the-application-of-food-allergen-quantitative-risk-assessment-qra/"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4578</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ILSI EU | Torben König</dc:creator>
  <cp:keywords/>
  <dc:description/>
  <cp:lastModifiedBy>ILSI EU | Torben König</cp:lastModifiedBy>
  <cp:revision>7</cp:revision>
  <cp:lastPrinted>2022-06-22T07:56:00Z</cp:lastPrinted>
  <dcterms:created xsi:type="dcterms:W3CDTF">2022-06-17T14:24:00Z</dcterms:created>
  <dcterms:modified xsi:type="dcterms:W3CDTF">2022-06-22T10:10:00Z</dcterms:modified>
</cp:coreProperties>
</file>